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jc w:val="center"/>
        <w:rPr/>
      </w:pPr>
      <w:r w:rsidDel="00000000" w:rsidR="00000000" w:rsidRPr="00000000">
        <w:rPr>
          <w:rtl w:val="0"/>
        </w:rPr>
        <w:t xml:space="preserve">Universitatea de Arhitectură și Urbanism Ion Mincu București</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spacing w:line="276" w:lineRule="auto"/>
        <w:jc w:val="center"/>
        <w:rPr>
          <w:b w:val="1"/>
          <w:sz w:val="28"/>
          <w:szCs w:val="28"/>
        </w:rPr>
      </w:pPr>
      <w:r w:rsidDel="00000000" w:rsidR="00000000" w:rsidRPr="00000000">
        <w:rPr>
          <w:b w:val="1"/>
          <w:sz w:val="28"/>
          <w:szCs w:val="28"/>
          <w:rtl w:val="0"/>
        </w:rPr>
        <w:t xml:space="preserve">FIȘA DE VERIFICARE </w:t>
      </w:r>
    </w:p>
    <w:p w:rsidR="00000000" w:rsidDel="00000000" w:rsidP="00000000" w:rsidRDefault="00000000" w:rsidRPr="00000000" w14:paraId="00000007">
      <w:pPr>
        <w:spacing w:after="120" w:line="276" w:lineRule="auto"/>
        <w:jc w:val="center"/>
        <w:rPr>
          <w:b w:val="1"/>
          <w:sz w:val="28"/>
          <w:szCs w:val="28"/>
        </w:rPr>
      </w:pPr>
      <w:r w:rsidDel="00000000" w:rsidR="00000000" w:rsidRPr="00000000">
        <w:rPr>
          <w:b w:val="1"/>
          <w:sz w:val="28"/>
          <w:szCs w:val="28"/>
          <w:rtl w:val="0"/>
        </w:rPr>
        <w:t xml:space="preserve">a îndeplinirii standardelor universității</w:t>
      </w:r>
    </w:p>
    <w:p w:rsidR="00000000" w:rsidDel="00000000" w:rsidP="00000000" w:rsidRDefault="00000000" w:rsidRPr="00000000" w14:paraId="00000008">
      <w:pPr>
        <w:spacing w:line="276" w:lineRule="auto"/>
        <w:jc w:val="center"/>
        <w:rPr>
          <w:i w:val="1"/>
        </w:rPr>
      </w:pPr>
      <w:r w:rsidDel="00000000" w:rsidR="00000000" w:rsidRPr="00000000">
        <w:rPr>
          <w:i w:val="1"/>
          <w:rtl w:val="0"/>
        </w:rPr>
        <w:t xml:space="preserve">(se completează de către candidat)</w:t>
      </w:r>
    </w:p>
    <w:p w:rsidR="00000000" w:rsidDel="00000000" w:rsidP="00000000" w:rsidRDefault="00000000" w:rsidRPr="00000000" w14:paraId="00000009">
      <w:pPr>
        <w:spacing w:line="276" w:lineRule="auto"/>
        <w:jc w:val="center"/>
        <w:rPr>
          <w:i w:val="1"/>
          <w:sz w:val="20"/>
          <w:szCs w:val="20"/>
        </w:rPr>
      </w:pPr>
      <w:r w:rsidDel="00000000" w:rsidR="00000000" w:rsidRPr="00000000">
        <w:rPr>
          <w:rtl w:val="0"/>
        </w:rPr>
      </w:r>
    </w:p>
    <w:p w:rsidR="00000000" w:rsidDel="00000000" w:rsidP="00000000" w:rsidRDefault="00000000" w:rsidRPr="00000000" w14:paraId="0000000A">
      <w:pPr>
        <w:spacing w:line="276" w:lineRule="auto"/>
        <w:jc w:val="center"/>
        <w:rPr>
          <w:i w:val="1"/>
          <w:sz w:val="20"/>
          <w:szCs w:val="20"/>
        </w:rPr>
      </w:pPr>
      <w:r w:rsidDel="00000000" w:rsidR="00000000" w:rsidRPr="00000000">
        <w:rPr>
          <w:rtl w:val="0"/>
        </w:rPr>
      </w:r>
    </w:p>
    <w:p w:rsidR="00000000" w:rsidDel="00000000" w:rsidP="00000000" w:rsidRDefault="00000000" w:rsidRPr="00000000" w14:paraId="0000000B">
      <w:pPr>
        <w:spacing w:line="276" w:lineRule="auto"/>
        <w:jc w:val="center"/>
        <w:rPr>
          <w:i w:val="1"/>
          <w:sz w:val="20"/>
          <w:szCs w:val="20"/>
        </w:rPr>
      </w:pPr>
      <w:r w:rsidDel="00000000" w:rsidR="00000000" w:rsidRPr="00000000">
        <w:rPr>
          <w:rtl w:val="0"/>
        </w:rPr>
      </w:r>
    </w:p>
    <w:p w:rsidR="00000000" w:rsidDel="00000000" w:rsidP="00000000" w:rsidRDefault="00000000" w:rsidRPr="00000000" w14:paraId="0000000C">
      <w:pPr>
        <w:spacing w:after="240" w:line="360" w:lineRule="auto"/>
        <w:jc w:val="both"/>
        <w:rPr/>
      </w:pPr>
      <w:r w:rsidDel="00000000" w:rsidR="00000000" w:rsidRPr="00000000">
        <w:rPr>
          <w:rtl w:val="0"/>
        </w:rPr>
        <w:t xml:space="preserve">Post cercetător științific III………………… Poziția 2……………..</w:t>
      </w:r>
    </w:p>
    <w:p w:rsidR="00000000" w:rsidDel="00000000" w:rsidP="00000000" w:rsidRDefault="00000000" w:rsidRPr="00000000" w14:paraId="0000000D">
      <w:pPr>
        <w:spacing w:after="240" w:line="360" w:lineRule="auto"/>
        <w:jc w:val="both"/>
        <w:rPr/>
      </w:pPr>
      <w:r w:rsidDel="00000000" w:rsidR="00000000" w:rsidRPr="00000000">
        <w:rPr>
          <w:rtl w:val="0"/>
        </w:rPr>
        <w:t xml:space="preserve">Departamentul pentru Managementul Cercetării…………..</w:t>
      </w:r>
    </w:p>
    <w:p w:rsidR="00000000" w:rsidDel="00000000" w:rsidP="00000000" w:rsidRDefault="00000000" w:rsidRPr="00000000" w14:paraId="0000000E">
      <w:pPr>
        <w:spacing w:after="240" w:line="276" w:lineRule="auto"/>
        <w:jc w:val="both"/>
        <w:rPr/>
      </w:pPr>
      <w:r w:rsidDel="00000000" w:rsidR="00000000" w:rsidRPr="00000000">
        <w:rPr>
          <w:rtl w:val="0"/>
        </w:rPr>
        <w:t xml:space="preserve">Disciplina/disciplinele postului  Cercetare……………………………………………………………………………………………</w:t>
      </w:r>
    </w:p>
    <w:p w:rsidR="00000000" w:rsidDel="00000000" w:rsidP="00000000" w:rsidRDefault="00000000" w:rsidRPr="00000000" w14:paraId="0000000F">
      <w:pPr>
        <w:spacing w:line="276" w:lineRule="auto"/>
        <w:jc w:val="both"/>
        <w:rPr/>
      </w:pPr>
      <w:r w:rsidDel="00000000" w:rsidR="00000000" w:rsidRPr="00000000">
        <w:rPr>
          <w:rtl w:val="0"/>
        </w:rPr>
        <w:t xml:space="preserve">..................................................................................................................................................................</w:t>
      </w:r>
    </w:p>
    <w:p w:rsidR="00000000" w:rsidDel="00000000" w:rsidP="00000000" w:rsidRDefault="00000000" w:rsidRPr="00000000" w14:paraId="00000010">
      <w:pPr>
        <w:spacing w:after="240" w:line="276" w:lineRule="auto"/>
        <w:jc w:val="both"/>
        <w:rPr/>
      </w:pPr>
      <w:r w:rsidDel="00000000" w:rsidR="00000000" w:rsidRPr="00000000">
        <w:rPr>
          <w:rtl w:val="0"/>
        </w:rPr>
      </w:r>
    </w:p>
    <w:p w:rsidR="00000000" w:rsidDel="00000000" w:rsidP="00000000" w:rsidRDefault="00000000" w:rsidRPr="00000000" w14:paraId="00000011">
      <w:pPr>
        <w:spacing w:after="240" w:line="360" w:lineRule="auto"/>
        <w:jc w:val="both"/>
        <w:rPr/>
      </w:pPr>
      <w:r w:rsidDel="00000000" w:rsidR="00000000" w:rsidRPr="00000000">
        <w:rPr>
          <w:rtl w:val="0"/>
        </w:rPr>
        <w:t xml:space="preserve">Candidat: Boștenaru-Dan Maria………………………………... Data nașterii: 15 ianuarie 1974……………………..</w:t>
      </w:r>
    </w:p>
    <w:p w:rsidR="00000000" w:rsidDel="00000000" w:rsidP="00000000" w:rsidRDefault="00000000" w:rsidRPr="00000000" w14:paraId="00000012">
      <w:pPr>
        <w:spacing w:line="276" w:lineRule="auto"/>
        <w:jc w:val="both"/>
        <w:rPr/>
      </w:pPr>
      <w:r w:rsidDel="00000000" w:rsidR="00000000" w:rsidRPr="00000000">
        <w:rPr>
          <w:rtl w:val="0"/>
        </w:rPr>
        <w:t xml:space="preserve">Funcția actuală: cercetător științific… Instituția: Universitatea de Arhitectură și Urbanism “Ion Mincu”</w:t>
      </w:r>
    </w:p>
    <w:p w:rsidR="00000000" w:rsidDel="00000000" w:rsidP="00000000" w:rsidRDefault="00000000" w:rsidRPr="00000000" w14:paraId="00000013">
      <w:pPr>
        <w:spacing w:after="240" w:line="276" w:lineRule="auto"/>
        <w:jc w:val="both"/>
        <w:rPr>
          <w:sz w:val="20"/>
          <w:szCs w:val="20"/>
        </w:rPr>
      </w:pPr>
      <w:r w:rsidDel="00000000" w:rsidR="00000000" w:rsidRPr="00000000">
        <w:rPr>
          <w:rtl w:val="0"/>
        </w:rPr>
      </w:r>
    </w:p>
    <w:p w:rsidR="00000000" w:rsidDel="00000000" w:rsidP="00000000" w:rsidRDefault="00000000" w:rsidRPr="00000000" w14:paraId="00000014">
      <w:pPr>
        <w:spacing w:after="240" w:line="276" w:lineRule="auto"/>
        <w:jc w:val="both"/>
        <w:rPr>
          <w:b w:val="1"/>
        </w:rPr>
      </w:pPr>
      <w:r w:rsidDel="00000000" w:rsidR="00000000" w:rsidRPr="00000000">
        <w:rPr>
          <w:b w:val="1"/>
          <w:rtl w:val="0"/>
        </w:rPr>
        <w:t xml:space="preserve">1. Studii universitare de licență și masterat</w:t>
      </w:r>
    </w:p>
    <w:tbl>
      <w:tblPr>
        <w:tblStyle w:val="Table1"/>
        <w:tblW w:w="909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8"/>
        <w:gridCol w:w="2886"/>
        <w:gridCol w:w="2750"/>
        <w:gridCol w:w="1361"/>
        <w:gridCol w:w="1361"/>
        <w:tblGridChange w:id="0">
          <w:tblGrid>
            <w:gridCol w:w="738"/>
            <w:gridCol w:w="2886"/>
            <w:gridCol w:w="2750"/>
            <w:gridCol w:w="1361"/>
            <w:gridCol w:w="1361"/>
          </w:tblGrid>
        </w:tblGridChange>
      </w:tblGrid>
      <w:tr>
        <w:trPr>
          <w:cantSplit w:val="0"/>
          <w:tblHeader w:val="0"/>
        </w:trPr>
        <w:tc>
          <w:tcPr>
            <w:vAlign w:val="center"/>
          </w:tcPr>
          <w:p w:rsidR="00000000" w:rsidDel="00000000" w:rsidP="00000000" w:rsidRDefault="00000000" w:rsidRPr="00000000" w14:paraId="00000015">
            <w:pPr>
              <w:jc w:val="center"/>
              <w:rPr>
                <w:sz w:val="20"/>
                <w:szCs w:val="20"/>
              </w:rPr>
            </w:pPr>
            <w:r w:rsidDel="00000000" w:rsidR="00000000" w:rsidRPr="00000000">
              <w:rPr>
                <w:sz w:val="20"/>
                <w:szCs w:val="20"/>
                <w:rtl w:val="0"/>
              </w:rPr>
              <w:t xml:space="preserve">Nr.crt.</w:t>
            </w:r>
          </w:p>
        </w:tc>
        <w:tc>
          <w:tcPr>
            <w:vAlign w:val="center"/>
          </w:tcPr>
          <w:p w:rsidR="00000000" w:rsidDel="00000000" w:rsidP="00000000" w:rsidRDefault="00000000" w:rsidRPr="00000000" w14:paraId="00000016">
            <w:pPr>
              <w:jc w:val="center"/>
              <w:rPr>
                <w:sz w:val="20"/>
                <w:szCs w:val="20"/>
              </w:rPr>
            </w:pPr>
            <w:bookmarkStart w:colFirst="0" w:colLast="0" w:name="_heading=h.gjdgxs" w:id="0"/>
            <w:bookmarkEnd w:id="0"/>
            <w:r w:rsidDel="00000000" w:rsidR="00000000" w:rsidRPr="00000000">
              <w:rPr>
                <w:sz w:val="20"/>
                <w:szCs w:val="20"/>
                <w:rtl w:val="0"/>
              </w:rPr>
              <w:t xml:space="preserve">Instituția de învățământ superior</w:t>
            </w:r>
          </w:p>
        </w:tc>
        <w:tc>
          <w:tcPr>
            <w:vAlign w:val="center"/>
          </w:tcPr>
          <w:p w:rsidR="00000000" w:rsidDel="00000000" w:rsidP="00000000" w:rsidRDefault="00000000" w:rsidRPr="00000000" w14:paraId="00000017">
            <w:pPr>
              <w:jc w:val="center"/>
              <w:rPr>
                <w:sz w:val="20"/>
                <w:szCs w:val="20"/>
              </w:rPr>
            </w:pPr>
            <w:r w:rsidDel="00000000" w:rsidR="00000000" w:rsidRPr="00000000">
              <w:rPr>
                <w:sz w:val="20"/>
                <w:szCs w:val="20"/>
                <w:rtl w:val="0"/>
              </w:rPr>
              <w:t xml:space="preserve">Facultatea/Specializarea</w:t>
            </w:r>
          </w:p>
        </w:tc>
        <w:tc>
          <w:tcPr>
            <w:vAlign w:val="center"/>
          </w:tcPr>
          <w:p w:rsidR="00000000" w:rsidDel="00000000" w:rsidP="00000000" w:rsidRDefault="00000000" w:rsidRPr="00000000" w14:paraId="00000018">
            <w:pPr>
              <w:jc w:val="center"/>
              <w:rPr>
                <w:sz w:val="20"/>
                <w:szCs w:val="20"/>
              </w:rPr>
            </w:pPr>
            <w:r w:rsidDel="00000000" w:rsidR="00000000" w:rsidRPr="00000000">
              <w:rPr>
                <w:sz w:val="20"/>
                <w:szCs w:val="20"/>
                <w:rtl w:val="0"/>
              </w:rPr>
              <w:t xml:space="preserve">Anul absolvirii</w:t>
            </w:r>
          </w:p>
        </w:tc>
        <w:tc>
          <w:tcPr>
            <w:vAlign w:val="center"/>
          </w:tcPr>
          <w:p w:rsidR="00000000" w:rsidDel="00000000" w:rsidP="00000000" w:rsidRDefault="00000000" w:rsidRPr="00000000" w14:paraId="00000019">
            <w:pPr>
              <w:jc w:val="center"/>
              <w:rPr>
                <w:sz w:val="20"/>
                <w:szCs w:val="20"/>
              </w:rPr>
            </w:pPr>
            <w:r w:rsidDel="00000000" w:rsidR="00000000" w:rsidRPr="00000000">
              <w:rPr>
                <w:rFonts w:ascii="Calibri" w:cs="Calibri" w:eastAsia="Calibri" w:hAnsi="Calibri"/>
                <w:sz w:val="20"/>
                <w:szCs w:val="20"/>
                <w:rtl w:val="0"/>
              </w:rPr>
              <w:t xml:space="preserve">Media de promovare a studiilor universitare</w:t>
            </w:r>
            <w:r w:rsidDel="00000000" w:rsidR="00000000" w:rsidRPr="00000000">
              <w:rPr>
                <w:rFonts w:ascii="Calibri" w:cs="Calibri" w:eastAsia="Calibri" w:hAnsi="Calibri"/>
                <w:sz w:val="20"/>
                <w:szCs w:val="20"/>
                <w:vertAlign w:val="superscript"/>
              </w:rPr>
              <w:footnoteReference w:customMarkFollows="0" w:id="0"/>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1A">
            <w:pPr>
              <w:spacing w:line="276" w:lineRule="auto"/>
              <w:jc w:val="center"/>
              <w:rPr>
                <w:sz w:val="20"/>
                <w:szCs w:val="20"/>
              </w:rPr>
            </w:pPr>
            <w:r w:rsidDel="00000000" w:rsidR="00000000" w:rsidRPr="00000000">
              <w:rPr>
                <w:sz w:val="20"/>
                <w:szCs w:val="20"/>
                <w:rtl w:val="0"/>
              </w:rPr>
              <w:t xml:space="preserve">1.</w:t>
            </w:r>
          </w:p>
        </w:tc>
        <w:tc>
          <w:tcPr/>
          <w:p w:rsidR="00000000" w:rsidDel="00000000" w:rsidP="00000000" w:rsidRDefault="00000000" w:rsidRPr="00000000" w14:paraId="0000001B">
            <w:pPr>
              <w:spacing w:after="240" w:line="276" w:lineRule="auto"/>
              <w:jc w:val="both"/>
              <w:rPr>
                <w:sz w:val="20"/>
                <w:szCs w:val="20"/>
              </w:rPr>
            </w:pPr>
            <w:r w:rsidDel="00000000" w:rsidR="00000000" w:rsidRPr="00000000">
              <w:rPr>
                <w:sz w:val="20"/>
                <w:szCs w:val="20"/>
                <w:rtl w:val="0"/>
              </w:rPr>
              <w:t xml:space="preserve">Universität Karlsruhe (TH)</w:t>
            </w:r>
          </w:p>
        </w:tc>
        <w:tc>
          <w:tcPr/>
          <w:p w:rsidR="00000000" w:rsidDel="00000000" w:rsidP="00000000" w:rsidRDefault="00000000" w:rsidRPr="00000000" w14:paraId="0000001C">
            <w:pPr>
              <w:spacing w:after="240" w:line="276" w:lineRule="auto"/>
              <w:jc w:val="both"/>
              <w:rPr>
                <w:sz w:val="20"/>
                <w:szCs w:val="20"/>
              </w:rPr>
            </w:pPr>
            <w:r w:rsidDel="00000000" w:rsidR="00000000" w:rsidRPr="00000000">
              <w:rPr>
                <w:sz w:val="20"/>
                <w:szCs w:val="20"/>
                <w:rtl w:val="0"/>
              </w:rPr>
              <w:t xml:space="preserve">arhitectură/arhitectură</w:t>
            </w:r>
          </w:p>
        </w:tc>
        <w:tc>
          <w:tcPr/>
          <w:p w:rsidR="00000000" w:rsidDel="00000000" w:rsidP="00000000" w:rsidRDefault="00000000" w:rsidRPr="00000000" w14:paraId="0000001D">
            <w:pPr>
              <w:spacing w:after="240" w:line="276" w:lineRule="auto"/>
              <w:jc w:val="both"/>
              <w:rPr>
                <w:sz w:val="20"/>
                <w:szCs w:val="20"/>
              </w:rPr>
            </w:pPr>
            <w:r w:rsidDel="00000000" w:rsidR="00000000" w:rsidRPr="00000000">
              <w:rPr>
                <w:sz w:val="20"/>
                <w:szCs w:val="20"/>
                <w:rtl w:val="0"/>
              </w:rPr>
              <w:t xml:space="preserve">1999</w:t>
            </w:r>
          </w:p>
        </w:tc>
        <w:tc>
          <w:tcPr/>
          <w:p w:rsidR="00000000" w:rsidDel="00000000" w:rsidP="00000000" w:rsidRDefault="00000000" w:rsidRPr="00000000" w14:paraId="0000001E">
            <w:pPr>
              <w:spacing w:after="240" w:line="276" w:lineRule="auto"/>
              <w:jc w:val="both"/>
              <w:rPr>
                <w:sz w:val="20"/>
                <w:szCs w:val="20"/>
              </w:rPr>
            </w:pPr>
            <w:r w:rsidDel="00000000" w:rsidR="00000000" w:rsidRPr="00000000">
              <w:rPr>
                <w:sz w:val="20"/>
                <w:szCs w:val="20"/>
                <w:rtl w:val="0"/>
              </w:rPr>
              <w:t xml:space="preserve">2,2 (echivalent 8,0)</w:t>
            </w:r>
          </w:p>
        </w:tc>
      </w:tr>
    </w:tbl>
    <w:p w:rsidR="00000000" w:rsidDel="00000000" w:rsidP="00000000" w:rsidRDefault="00000000" w:rsidRPr="00000000" w14:paraId="0000001F">
      <w:pPr>
        <w:spacing w:after="240" w:line="276" w:lineRule="auto"/>
        <w:jc w:val="both"/>
        <w:rPr>
          <w:sz w:val="20"/>
          <w:szCs w:val="20"/>
        </w:rPr>
      </w:pPr>
      <w:r w:rsidDel="00000000" w:rsidR="00000000" w:rsidRPr="00000000">
        <w:rPr>
          <w:rtl w:val="0"/>
        </w:rPr>
      </w:r>
    </w:p>
    <w:p w:rsidR="00000000" w:rsidDel="00000000" w:rsidP="00000000" w:rsidRDefault="00000000" w:rsidRPr="00000000" w14:paraId="00000020">
      <w:pPr>
        <w:spacing w:after="240" w:line="276" w:lineRule="auto"/>
        <w:jc w:val="both"/>
        <w:rPr>
          <w:b w:val="1"/>
        </w:rPr>
      </w:pPr>
      <w:r w:rsidDel="00000000" w:rsidR="00000000" w:rsidRPr="00000000">
        <w:rPr>
          <w:b w:val="1"/>
          <w:rtl w:val="0"/>
        </w:rPr>
        <w:t xml:space="preserve">2. Studii de doctorat</w:t>
      </w:r>
    </w:p>
    <w:tbl>
      <w:tblPr>
        <w:tblStyle w:val="Table2"/>
        <w:tblW w:w="909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8"/>
        <w:gridCol w:w="2886"/>
        <w:gridCol w:w="2750"/>
        <w:gridCol w:w="1361"/>
        <w:gridCol w:w="1361"/>
        <w:tblGridChange w:id="0">
          <w:tblGrid>
            <w:gridCol w:w="738"/>
            <w:gridCol w:w="2886"/>
            <w:gridCol w:w="2750"/>
            <w:gridCol w:w="1361"/>
            <w:gridCol w:w="1361"/>
          </w:tblGrid>
        </w:tblGridChange>
      </w:tblGrid>
      <w:tr>
        <w:trPr>
          <w:cantSplit w:val="0"/>
          <w:tblHeader w:val="0"/>
        </w:trPr>
        <w:tc>
          <w:tcPr>
            <w:vAlign w:val="center"/>
          </w:tcPr>
          <w:p w:rsidR="00000000" w:rsidDel="00000000" w:rsidP="00000000" w:rsidRDefault="00000000" w:rsidRPr="00000000" w14:paraId="00000021">
            <w:pPr>
              <w:jc w:val="center"/>
              <w:rPr>
                <w:sz w:val="20"/>
                <w:szCs w:val="20"/>
              </w:rPr>
            </w:pPr>
            <w:r w:rsidDel="00000000" w:rsidR="00000000" w:rsidRPr="00000000">
              <w:rPr>
                <w:sz w:val="20"/>
                <w:szCs w:val="20"/>
                <w:rtl w:val="0"/>
              </w:rPr>
              <w:t xml:space="preserve">Nr.crt.</w:t>
            </w:r>
          </w:p>
        </w:tc>
        <w:tc>
          <w:tcPr>
            <w:vAlign w:val="center"/>
          </w:tcPr>
          <w:p w:rsidR="00000000" w:rsidDel="00000000" w:rsidP="00000000" w:rsidRDefault="00000000" w:rsidRPr="00000000" w14:paraId="00000022">
            <w:pPr>
              <w:jc w:val="center"/>
              <w:rPr>
                <w:sz w:val="20"/>
                <w:szCs w:val="20"/>
              </w:rPr>
            </w:pPr>
            <w:r w:rsidDel="00000000" w:rsidR="00000000" w:rsidRPr="00000000">
              <w:rPr>
                <w:sz w:val="20"/>
                <w:szCs w:val="20"/>
                <w:rtl w:val="0"/>
              </w:rPr>
              <w:t xml:space="preserve">Instituția organizatoare de studii universitare de doctorat</w:t>
            </w:r>
          </w:p>
        </w:tc>
        <w:tc>
          <w:tcPr>
            <w:vAlign w:val="center"/>
          </w:tcPr>
          <w:p w:rsidR="00000000" w:rsidDel="00000000" w:rsidP="00000000" w:rsidRDefault="00000000" w:rsidRPr="00000000" w14:paraId="00000023">
            <w:pPr>
              <w:jc w:val="center"/>
              <w:rPr>
                <w:sz w:val="20"/>
                <w:szCs w:val="20"/>
              </w:rPr>
            </w:pPr>
            <w:r w:rsidDel="00000000" w:rsidR="00000000" w:rsidRPr="00000000">
              <w:rPr>
                <w:sz w:val="20"/>
                <w:szCs w:val="20"/>
                <w:rtl w:val="0"/>
              </w:rPr>
              <w:t xml:space="preserve">Tema tezei</w:t>
            </w:r>
          </w:p>
        </w:tc>
        <w:tc>
          <w:tcPr>
            <w:vAlign w:val="center"/>
          </w:tcPr>
          <w:p w:rsidR="00000000" w:rsidDel="00000000" w:rsidP="00000000" w:rsidRDefault="00000000" w:rsidRPr="00000000" w14:paraId="00000024">
            <w:pPr>
              <w:jc w:val="center"/>
              <w:rPr>
                <w:sz w:val="20"/>
                <w:szCs w:val="20"/>
              </w:rPr>
            </w:pPr>
            <w:r w:rsidDel="00000000" w:rsidR="00000000" w:rsidRPr="00000000">
              <w:rPr>
                <w:sz w:val="20"/>
                <w:szCs w:val="20"/>
                <w:rtl w:val="0"/>
              </w:rPr>
              <w:t xml:space="preserve">Anul obținerii titlului de doctor</w:t>
            </w:r>
          </w:p>
        </w:tc>
        <w:tc>
          <w:tcPr>
            <w:vAlign w:val="center"/>
          </w:tcPr>
          <w:p w:rsidR="00000000" w:rsidDel="00000000" w:rsidP="00000000" w:rsidRDefault="00000000" w:rsidRPr="00000000" w14:paraId="00000025">
            <w:pPr>
              <w:jc w:val="center"/>
              <w:rPr>
                <w:sz w:val="20"/>
                <w:szCs w:val="20"/>
              </w:rPr>
            </w:pPr>
            <w:r w:rsidDel="00000000" w:rsidR="00000000" w:rsidRPr="00000000">
              <w:rPr>
                <w:sz w:val="20"/>
                <w:szCs w:val="20"/>
                <w:rtl w:val="0"/>
              </w:rPr>
              <w:t xml:space="preserve">Calificativul tezei</w:t>
            </w:r>
          </w:p>
        </w:tc>
      </w:tr>
      <w:tr>
        <w:trPr>
          <w:cantSplit w:val="0"/>
          <w:tblHeader w:val="0"/>
        </w:trPr>
        <w:tc>
          <w:tcPr>
            <w:vAlign w:val="center"/>
          </w:tcPr>
          <w:p w:rsidR="00000000" w:rsidDel="00000000" w:rsidP="00000000" w:rsidRDefault="00000000" w:rsidRPr="00000000" w14:paraId="00000026">
            <w:pPr>
              <w:spacing w:line="276" w:lineRule="auto"/>
              <w:jc w:val="center"/>
              <w:rPr>
                <w:sz w:val="20"/>
                <w:szCs w:val="20"/>
              </w:rPr>
            </w:pPr>
            <w:r w:rsidDel="00000000" w:rsidR="00000000" w:rsidRPr="00000000">
              <w:rPr>
                <w:sz w:val="20"/>
                <w:szCs w:val="20"/>
                <w:rtl w:val="0"/>
              </w:rPr>
              <w:t xml:space="preserve">1.</w:t>
            </w:r>
          </w:p>
        </w:tc>
        <w:tc>
          <w:tcPr/>
          <w:p w:rsidR="00000000" w:rsidDel="00000000" w:rsidP="00000000" w:rsidRDefault="00000000" w:rsidRPr="00000000" w14:paraId="00000027">
            <w:pPr>
              <w:spacing w:after="240" w:line="276" w:lineRule="auto"/>
              <w:jc w:val="both"/>
              <w:rPr>
                <w:sz w:val="20"/>
                <w:szCs w:val="20"/>
              </w:rPr>
            </w:pPr>
            <w:r w:rsidDel="00000000" w:rsidR="00000000" w:rsidRPr="00000000">
              <w:rPr>
                <w:sz w:val="20"/>
                <w:szCs w:val="20"/>
                <w:rtl w:val="0"/>
              </w:rPr>
              <w:t xml:space="preserve">Universitatea de Arhitectură și Urbanism Ion Mincu</w:t>
            </w:r>
          </w:p>
        </w:tc>
        <w:tc>
          <w:tcPr/>
          <w:p w:rsidR="00000000" w:rsidDel="00000000" w:rsidP="00000000" w:rsidRDefault="00000000" w:rsidRPr="00000000" w14:paraId="00000028">
            <w:pPr>
              <w:spacing w:after="240" w:line="276" w:lineRule="auto"/>
              <w:jc w:val="both"/>
              <w:rPr>
                <w:sz w:val="20"/>
                <w:szCs w:val="20"/>
              </w:rPr>
            </w:pPr>
            <w:r w:rsidDel="00000000" w:rsidR="00000000" w:rsidRPr="00000000">
              <w:rPr>
                <w:sz w:val="20"/>
                <w:szCs w:val="20"/>
                <w:highlight w:val="white"/>
                <w:rtl w:val="0"/>
              </w:rPr>
              <w:t xml:space="preserve">Arhitectura interbelică cu structură din beton armat expusă la hazard seismic în context european. Intervenții în spațiul românesc și italian</w:t>
            </w:r>
            <w:r w:rsidDel="00000000" w:rsidR="00000000" w:rsidRPr="00000000">
              <w:rPr>
                <w:rtl w:val="0"/>
              </w:rPr>
            </w:r>
          </w:p>
        </w:tc>
        <w:tc>
          <w:tcPr/>
          <w:p w:rsidR="00000000" w:rsidDel="00000000" w:rsidP="00000000" w:rsidRDefault="00000000" w:rsidRPr="00000000" w14:paraId="00000029">
            <w:pPr>
              <w:spacing w:after="240" w:line="276" w:lineRule="auto"/>
              <w:jc w:val="both"/>
              <w:rPr>
                <w:sz w:val="20"/>
                <w:szCs w:val="20"/>
              </w:rPr>
            </w:pPr>
            <w:r w:rsidDel="00000000" w:rsidR="00000000" w:rsidRPr="00000000">
              <w:rPr>
                <w:sz w:val="20"/>
                <w:szCs w:val="20"/>
                <w:rtl w:val="0"/>
              </w:rPr>
              <w:t xml:space="preserve">2012</w:t>
            </w:r>
          </w:p>
        </w:tc>
        <w:tc>
          <w:tcPr/>
          <w:p w:rsidR="00000000" w:rsidDel="00000000" w:rsidP="00000000" w:rsidRDefault="00000000" w:rsidRPr="00000000" w14:paraId="0000002A">
            <w:pPr>
              <w:spacing w:after="240" w:line="276" w:lineRule="auto"/>
              <w:jc w:val="both"/>
              <w:rPr>
                <w:sz w:val="20"/>
                <w:szCs w:val="20"/>
              </w:rPr>
            </w:pPr>
            <w:r w:rsidDel="00000000" w:rsidR="00000000" w:rsidRPr="00000000">
              <w:rPr>
                <w:sz w:val="20"/>
                <w:szCs w:val="20"/>
                <w:rtl w:val="0"/>
              </w:rPr>
              <w:t xml:space="preserve">foarte bine</w:t>
            </w:r>
          </w:p>
        </w:tc>
      </w:tr>
    </w:tbl>
    <w:p w:rsidR="00000000" w:rsidDel="00000000" w:rsidP="00000000" w:rsidRDefault="00000000" w:rsidRPr="00000000" w14:paraId="0000002B">
      <w:pPr>
        <w:spacing w:after="240" w:line="276" w:lineRule="auto"/>
        <w:jc w:val="both"/>
        <w:rPr>
          <w:sz w:val="20"/>
          <w:szCs w:val="20"/>
        </w:rPr>
      </w:pPr>
      <w:r w:rsidDel="00000000" w:rsidR="00000000" w:rsidRPr="00000000">
        <w:rPr>
          <w:rtl w:val="0"/>
        </w:rPr>
      </w:r>
    </w:p>
    <w:p w:rsidR="00000000" w:rsidDel="00000000" w:rsidP="00000000" w:rsidRDefault="00000000" w:rsidRPr="00000000" w14:paraId="0000002C">
      <w:pPr>
        <w:spacing w:after="240" w:line="276" w:lineRule="auto"/>
        <w:jc w:val="both"/>
        <w:rPr>
          <w:b w:val="1"/>
        </w:rPr>
      </w:pPr>
      <w:r w:rsidDel="00000000" w:rsidR="00000000" w:rsidRPr="00000000">
        <w:rPr>
          <w:b w:val="1"/>
          <w:rtl w:val="0"/>
        </w:rPr>
        <w:t xml:space="preserve">3. Grade didactice sau de cercetare</w:t>
      </w:r>
    </w:p>
    <w:tbl>
      <w:tblPr>
        <w:tblStyle w:val="Table3"/>
        <w:tblW w:w="909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8"/>
        <w:gridCol w:w="2886"/>
        <w:gridCol w:w="2750"/>
        <w:gridCol w:w="1361"/>
        <w:gridCol w:w="1361"/>
        <w:tblGridChange w:id="0">
          <w:tblGrid>
            <w:gridCol w:w="738"/>
            <w:gridCol w:w="2886"/>
            <w:gridCol w:w="2750"/>
            <w:gridCol w:w="1361"/>
            <w:gridCol w:w="1361"/>
          </w:tblGrid>
        </w:tblGridChange>
      </w:tblGrid>
      <w:tr>
        <w:trPr>
          <w:cantSplit w:val="0"/>
          <w:tblHeader w:val="0"/>
        </w:trPr>
        <w:tc>
          <w:tcPr>
            <w:vAlign w:val="center"/>
          </w:tcPr>
          <w:p w:rsidR="00000000" w:rsidDel="00000000" w:rsidP="00000000" w:rsidRDefault="00000000" w:rsidRPr="00000000" w14:paraId="0000002D">
            <w:pPr>
              <w:jc w:val="center"/>
              <w:rPr>
                <w:sz w:val="20"/>
                <w:szCs w:val="20"/>
              </w:rPr>
            </w:pPr>
            <w:r w:rsidDel="00000000" w:rsidR="00000000" w:rsidRPr="00000000">
              <w:rPr>
                <w:sz w:val="20"/>
                <w:szCs w:val="20"/>
                <w:rtl w:val="0"/>
              </w:rPr>
              <w:t xml:space="preserve">Nr.crt.</w:t>
            </w:r>
          </w:p>
        </w:tc>
        <w:tc>
          <w:tcPr>
            <w:vAlign w:val="center"/>
          </w:tcPr>
          <w:p w:rsidR="00000000" w:rsidDel="00000000" w:rsidP="00000000" w:rsidRDefault="00000000" w:rsidRPr="00000000" w14:paraId="0000002E">
            <w:pPr>
              <w:jc w:val="center"/>
              <w:rPr>
                <w:sz w:val="20"/>
                <w:szCs w:val="20"/>
              </w:rPr>
            </w:pPr>
            <w:r w:rsidDel="00000000" w:rsidR="00000000" w:rsidRPr="00000000">
              <w:rPr>
                <w:sz w:val="20"/>
                <w:szCs w:val="20"/>
                <w:rtl w:val="0"/>
              </w:rPr>
              <w:t xml:space="preserve">Instituția </w:t>
            </w:r>
          </w:p>
        </w:tc>
        <w:tc>
          <w:tcPr>
            <w:vAlign w:val="center"/>
          </w:tcPr>
          <w:p w:rsidR="00000000" w:rsidDel="00000000" w:rsidP="00000000" w:rsidRDefault="00000000" w:rsidRPr="00000000" w14:paraId="0000002F">
            <w:pPr>
              <w:jc w:val="center"/>
              <w:rPr>
                <w:sz w:val="20"/>
                <w:szCs w:val="20"/>
              </w:rPr>
            </w:pPr>
            <w:r w:rsidDel="00000000" w:rsidR="00000000" w:rsidRPr="00000000">
              <w:rPr>
                <w:sz w:val="20"/>
                <w:szCs w:val="20"/>
                <w:rtl w:val="0"/>
              </w:rPr>
              <w:t xml:space="preserve">Domeniul de activitate</w:t>
            </w:r>
          </w:p>
        </w:tc>
        <w:tc>
          <w:tcPr>
            <w:vAlign w:val="center"/>
          </w:tcPr>
          <w:p w:rsidR="00000000" w:rsidDel="00000000" w:rsidP="00000000" w:rsidRDefault="00000000" w:rsidRPr="00000000" w14:paraId="00000030">
            <w:pPr>
              <w:jc w:val="center"/>
              <w:rPr>
                <w:sz w:val="20"/>
                <w:szCs w:val="20"/>
              </w:rPr>
            </w:pPr>
            <w:r w:rsidDel="00000000" w:rsidR="00000000" w:rsidRPr="00000000">
              <w:rPr>
                <w:sz w:val="20"/>
                <w:szCs w:val="20"/>
                <w:rtl w:val="0"/>
              </w:rPr>
              <w:t xml:space="preserve">Perioada </w:t>
            </w:r>
          </w:p>
        </w:tc>
        <w:tc>
          <w:tcPr>
            <w:vAlign w:val="center"/>
          </w:tcPr>
          <w:p w:rsidR="00000000" w:rsidDel="00000000" w:rsidP="00000000" w:rsidRDefault="00000000" w:rsidRPr="00000000" w14:paraId="00000031">
            <w:pPr>
              <w:jc w:val="center"/>
              <w:rPr>
                <w:sz w:val="20"/>
                <w:szCs w:val="20"/>
              </w:rPr>
            </w:pPr>
            <w:r w:rsidDel="00000000" w:rsidR="00000000" w:rsidRPr="00000000">
              <w:rPr>
                <w:sz w:val="20"/>
                <w:szCs w:val="20"/>
                <w:rtl w:val="0"/>
              </w:rPr>
              <w:t xml:space="preserve">Gradul </w:t>
            </w:r>
          </w:p>
        </w:tc>
      </w:tr>
      <w:tr>
        <w:trPr>
          <w:cantSplit w:val="0"/>
          <w:tblHeader w:val="0"/>
        </w:trPr>
        <w:tc>
          <w:tcPr>
            <w:vAlign w:val="center"/>
          </w:tcPr>
          <w:p w:rsidR="00000000" w:rsidDel="00000000" w:rsidP="00000000" w:rsidRDefault="00000000" w:rsidRPr="00000000" w14:paraId="00000032">
            <w:pPr>
              <w:spacing w:line="276" w:lineRule="auto"/>
              <w:jc w:val="center"/>
              <w:rPr>
                <w:sz w:val="20"/>
                <w:szCs w:val="20"/>
              </w:rPr>
            </w:pPr>
            <w:r w:rsidDel="00000000" w:rsidR="00000000" w:rsidRPr="00000000">
              <w:rPr>
                <w:sz w:val="20"/>
                <w:szCs w:val="20"/>
                <w:rtl w:val="0"/>
              </w:rPr>
              <w:t xml:space="preserve">1.</w:t>
            </w:r>
          </w:p>
        </w:tc>
        <w:tc>
          <w:tcPr/>
          <w:p w:rsidR="00000000" w:rsidDel="00000000" w:rsidP="00000000" w:rsidRDefault="00000000" w:rsidRPr="00000000" w14:paraId="00000033">
            <w:pPr>
              <w:spacing w:after="240" w:line="276" w:lineRule="auto"/>
              <w:jc w:val="both"/>
              <w:rPr>
                <w:sz w:val="20"/>
                <w:szCs w:val="20"/>
              </w:rPr>
            </w:pPr>
            <w:r w:rsidDel="00000000" w:rsidR="00000000" w:rsidRPr="00000000">
              <w:rPr>
                <w:sz w:val="20"/>
                <w:szCs w:val="20"/>
                <w:rtl w:val="0"/>
              </w:rPr>
              <w:t xml:space="preserve">Universitatea de Arhitectură și Urbanism “Ion Mincu”</w:t>
            </w:r>
          </w:p>
        </w:tc>
        <w:tc>
          <w:tcPr/>
          <w:p w:rsidR="00000000" w:rsidDel="00000000" w:rsidP="00000000" w:rsidRDefault="00000000" w:rsidRPr="00000000" w14:paraId="00000034">
            <w:pPr>
              <w:spacing w:after="240" w:line="276" w:lineRule="auto"/>
              <w:jc w:val="both"/>
              <w:rPr>
                <w:sz w:val="20"/>
                <w:szCs w:val="20"/>
              </w:rPr>
            </w:pPr>
            <w:r w:rsidDel="00000000" w:rsidR="00000000" w:rsidRPr="00000000">
              <w:rPr>
                <w:sz w:val="20"/>
                <w:szCs w:val="20"/>
                <w:rtl w:val="0"/>
              </w:rPr>
              <w:t xml:space="preserve">arhitectură</w:t>
            </w:r>
          </w:p>
        </w:tc>
        <w:tc>
          <w:tcPr/>
          <w:p w:rsidR="00000000" w:rsidDel="00000000" w:rsidP="00000000" w:rsidRDefault="00000000" w:rsidRPr="00000000" w14:paraId="00000035">
            <w:pPr>
              <w:spacing w:after="240" w:line="276" w:lineRule="auto"/>
              <w:jc w:val="both"/>
              <w:rPr>
                <w:sz w:val="20"/>
                <w:szCs w:val="20"/>
              </w:rPr>
            </w:pPr>
            <w:r w:rsidDel="00000000" w:rsidR="00000000" w:rsidRPr="00000000">
              <w:rPr>
                <w:sz w:val="20"/>
                <w:szCs w:val="20"/>
                <w:rtl w:val="0"/>
              </w:rPr>
              <w:t xml:space="preserve">2008-</w:t>
            </w:r>
          </w:p>
        </w:tc>
        <w:tc>
          <w:tcPr/>
          <w:p w:rsidR="00000000" w:rsidDel="00000000" w:rsidP="00000000" w:rsidRDefault="00000000" w:rsidRPr="00000000" w14:paraId="00000036">
            <w:pPr>
              <w:spacing w:after="240" w:line="276" w:lineRule="auto"/>
              <w:jc w:val="both"/>
              <w:rPr>
                <w:sz w:val="20"/>
                <w:szCs w:val="20"/>
              </w:rPr>
            </w:pPr>
            <w:r w:rsidDel="00000000" w:rsidR="00000000" w:rsidRPr="00000000">
              <w:rPr>
                <w:sz w:val="20"/>
                <w:szCs w:val="20"/>
                <w:rtl w:val="0"/>
              </w:rPr>
              <w:t xml:space="preserve">cercetător științific</w:t>
            </w:r>
          </w:p>
        </w:tc>
      </w:tr>
    </w:tbl>
    <w:p w:rsidR="00000000" w:rsidDel="00000000" w:rsidP="00000000" w:rsidRDefault="00000000" w:rsidRPr="00000000" w14:paraId="00000037">
      <w:pPr>
        <w:spacing w:after="160" w:line="259" w:lineRule="auto"/>
        <w:rPr>
          <w:b w:val="1"/>
        </w:rPr>
      </w:pPr>
      <w:r w:rsidDel="00000000" w:rsidR="00000000" w:rsidRPr="00000000">
        <w:rPr>
          <w:b w:val="1"/>
          <w:rtl w:val="0"/>
        </w:rPr>
        <w:t xml:space="preserve">4. Realizări profesional-științifice</w:t>
      </w:r>
      <w:r w:rsidDel="00000000" w:rsidR="00000000" w:rsidRPr="00000000">
        <w:rPr>
          <w:b w:val="1"/>
          <w:vertAlign w:val="superscript"/>
        </w:rPr>
        <w:footnoteReference w:customMarkFollows="0" w:id="1"/>
      </w: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tbl>
      <w:tblPr>
        <w:tblStyle w:val="Table4"/>
        <w:tblW w:w="90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2"/>
        <w:gridCol w:w="2410"/>
        <w:gridCol w:w="6095"/>
        <w:tblGridChange w:id="0">
          <w:tblGrid>
            <w:gridCol w:w="562"/>
            <w:gridCol w:w="2410"/>
            <w:gridCol w:w="6095"/>
          </w:tblGrid>
        </w:tblGridChange>
      </w:tblGrid>
      <w:tr>
        <w:trPr>
          <w:cantSplit w:val="0"/>
          <w:trHeight w:val="454" w:hRule="atLeast"/>
          <w:tblHeader w:val="0"/>
        </w:trPr>
        <w:tc>
          <w:tcPr>
            <w:vAlign w:val="center"/>
          </w:tcPr>
          <w:p w:rsidR="00000000" w:rsidDel="00000000" w:rsidP="00000000" w:rsidRDefault="00000000" w:rsidRPr="00000000" w14:paraId="00000039">
            <w:pPr>
              <w:tabs>
                <w:tab w:val="left" w:leader="none" w:pos="993"/>
              </w:tabs>
              <w:jc w:val="center"/>
              <w:rPr>
                <w:b w:val="1"/>
                <w:sz w:val="32"/>
                <w:szCs w:val="32"/>
              </w:rPr>
            </w:pPr>
            <w:r w:rsidDel="00000000" w:rsidR="00000000" w:rsidRPr="00000000">
              <w:rPr>
                <w:rtl w:val="0"/>
              </w:rPr>
            </w:r>
          </w:p>
        </w:tc>
        <w:tc>
          <w:tcPr>
            <w:vAlign w:val="center"/>
          </w:tcPr>
          <w:p w:rsidR="00000000" w:rsidDel="00000000" w:rsidP="00000000" w:rsidRDefault="00000000" w:rsidRPr="00000000" w14:paraId="0000003A">
            <w:pPr>
              <w:tabs>
                <w:tab w:val="left" w:leader="none" w:pos="993"/>
              </w:tabs>
              <w:rPr>
                <w:b w:val="1"/>
                <w:sz w:val="32"/>
                <w:szCs w:val="32"/>
              </w:rPr>
            </w:pPr>
            <w:r w:rsidDel="00000000" w:rsidR="00000000" w:rsidRPr="00000000">
              <w:rPr>
                <w:rtl w:val="0"/>
              </w:rPr>
            </w:r>
          </w:p>
        </w:tc>
        <w:tc>
          <w:tcPr>
            <w:shd w:fill="auto" w:val="clear"/>
            <w:vAlign w:val="center"/>
          </w:tcPr>
          <w:p w:rsidR="00000000" w:rsidDel="00000000" w:rsidP="00000000" w:rsidRDefault="00000000" w:rsidRPr="00000000" w14:paraId="0000003B">
            <w:pPr>
              <w:tabs>
                <w:tab w:val="left" w:leader="none" w:pos="993"/>
              </w:tabs>
              <w:jc w:val="both"/>
              <w:rPr>
                <w:b w:val="1"/>
                <w:sz w:val="32"/>
                <w:szCs w:val="32"/>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03C">
            <w:pPr>
              <w:tabs>
                <w:tab w:val="left" w:leader="none" w:pos="993"/>
              </w:tabs>
              <w:jc w:val="center"/>
              <w:rPr>
                <w:b w:val="1"/>
              </w:rPr>
            </w:pPr>
            <w:r w:rsidDel="00000000" w:rsidR="00000000" w:rsidRPr="00000000">
              <w:rPr>
                <w:b w:val="1"/>
                <w:rtl w:val="0"/>
              </w:rPr>
              <w:t xml:space="preserve">4.1.</w:t>
            </w:r>
          </w:p>
        </w:tc>
        <w:tc>
          <w:tcPr/>
          <w:p w:rsidR="00000000" w:rsidDel="00000000" w:rsidP="00000000" w:rsidRDefault="00000000" w:rsidRPr="00000000" w14:paraId="0000003D">
            <w:pPr>
              <w:rPr/>
            </w:pPr>
            <w:r w:rsidDel="00000000" w:rsidR="00000000" w:rsidRPr="00000000">
              <w:rPr>
                <w:b w:val="1"/>
                <w:rtl w:val="0"/>
              </w:rPr>
              <w:t xml:space="preserve">Vizibilitatea rezultatelor activității de cercetare-proiectare</w:t>
            </w:r>
            <w:r w:rsidDel="00000000" w:rsidR="00000000" w:rsidRPr="00000000">
              <w:rPr>
                <w:rtl w:val="0"/>
              </w:rPr>
              <w:t xml:space="preserve"> </w:t>
            </w:r>
          </w:p>
          <w:p w:rsidR="00000000" w:rsidDel="00000000" w:rsidP="00000000" w:rsidRDefault="00000000" w:rsidRPr="00000000" w14:paraId="0000003E">
            <w:pPr>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3F">
            <w:pPr>
              <w:rPr>
                <w:i w:val="1"/>
                <w:sz w:val="18"/>
                <w:szCs w:val="18"/>
              </w:rPr>
            </w:pPr>
            <w:r w:rsidDel="00000000" w:rsidR="00000000" w:rsidRPr="00000000">
              <w:rPr>
                <w:i w:val="1"/>
                <w:sz w:val="18"/>
                <w:szCs w:val="18"/>
                <w:rtl w:val="0"/>
              </w:rPr>
              <w:t xml:space="preserve">Se fac referiri la comunicări științifice, publicații, premii. </w:t>
            </w:r>
          </w:p>
          <w:p w:rsidR="00000000" w:rsidDel="00000000" w:rsidP="00000000" w:rsidRDefault="00000000" w:rsidRPr="00000000" w14:paraId="00000040">
            <w:pPr>
              <w:rPr>
                <w:i w:val="1"/>
                <w:sz w:val="18"/>
                <w:szCs w:val="18"/>
              </w:rPr>
            </w:pPr>
            <w:r w:rsidDel="00000000" w:rsidR="00000000" w:rsidRPr="00000000">
              <w:rPr>
                <w:i w:val="1"/>
                <w:sz w:val="18"/>
                <w:szCs w:val="18"/>
                <w:rtl w:val="0"/>
              </w:rPr>
              <w:t xml:space="preserve">Se evidențiază:</w:t>
            </w:r>
          </w:p>
          <w:p w:rsidR="00000000" w:rsidDel="00000000" w:rsidP="00000000" w:rsidRDefault="00000000" w:rsidRPr="00000000" w14:paraId="0000004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Calibri" w:cs="Calibri" w:eastAsia="Calibri" w:hAnsi="Calibri"/>
                <w:b w:val="0"/>
                <w:i w:val="1"/>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1"/>
                <w:smallCaps w:val="0"/>
                <w:strike w:val="0"/>
                <w:color w:val="000000"/>
                <w:sz w:val="18"/>
                <w:szCs w:val="18"/>
                <w:u w:val="none"/>
                <w:shd w:fill="auto" w:val="clear"/>
                <w:vertAlign w:val="baseline"/>
                <w:rtl w:val="0"/>
              </w:rPr>
              <w:t xml:space="preserve">capacitatea candidatului de a transfera cunoştinţele şi rezultatele activității de cercetare-proiectare către mediul economic sau social, ori de a populariza propriile rezultate profesionale și ştiinţifice;</w:t>
            </w:r>
          </w:p>
          <w:p w:rsidR="00000000" w:rsidDel="00000000" w:rsidP="00000000" w:rsidRDefault="00000000" w:rsidRPr="00000000" w14:paraId="000000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120" w:before="0" w:line="240" w:lineRule="auto"/>
              <w:ind w:left="357" w:right="0" w:hanging="357"/>
              <w:jc w:val="left"/>
              <w:rPr>
                <w:rFonts w:ascii="Calibri" w:cs="Calibri" w:eastAsia="Calibri" w:hAnsi="Calibri"/>
                <w:b w:val="0"/>
                <w:i w:val="1"/>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1"/>
                <w:smallCaps w:val="0"/>
                <w:strike w:val="0"/>
                <w:color w:val="000000"/>
                <w:sz w:val="18"/>
                <w:szCs w:val="18"/>
                <w:u w:val="none"/>
                <w:shd w:fill="auto" w:val="clear"/>
                <w:vertAlign w:val="baseline"/>
                <w:rtl w:val="0"/>
              </w:rPr>
              <w:t xml:space="preserve">relevanţa și impactul rezultatelor profesionale și ştiinţifice, din perspectiva domeniului și conținutului postului vizat.</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0" w:line="240" w:lineRule="auto"/>
              <w:ind w:right="0"/>
              <w:jc w:val="left"/>
              <w:rPr>
                <w:sz w:val="18"/>
                <w:szCs w:val="18"/>
              </w:rPr>
            </w:pPr>
            <w:r w:rsidDel="00000000" w:rsidR="00000000" w:rsidRPr="00000000">
              <w:rPr>
                <w:sz w:val="18"/>
                <w:szCs w:val="18"/>
                <w:rtl w:val="0"/>
              </w:rPr>
              <w:t xml:space="preserve">Maria BOSTENARU-DAN are numeroase publicații și prezentări (inclusiv prezentări orale în străinătate), majoritatea ca autor unic, inclusiv în reviste ISI, cărți de autor în germană și engleză și cărți editate. Domeniile sale de cercetare sunt locuințele, ingineria seismică, managementul construcțiilor, betonul armat, arhitectura de la începutul secolului XX, planificarea participativă, fotografia și arhivele digitale. Cele mai citate sunt lucrările sale privind locuințele și sistemele decizionale. Realizările sale o fac eligibilă pentru a deveni profesor titular de arhitectură sau inginerie civilă în România. A beneficiat de două burse individuale Marie Curie pentru cercetători cu experiență, un program extrem de competitiv al Comisiei Europene, iar în prezent este expertă în evaluarea unor astfel de proiecte. A primit o serie de granturi de călătorie și peste 10 premii, pentru fotografie, evaluari, articole în reviste cu factor de impact ridicat și, de asemenea, în general, pentru realizări la începutul carierei. În plus, faptul că este membră a unor comitete științifice îi asigură vizibilitatea internațională. Are aproape 100 de articole în reviste, 8 cărți editate și 9 cărți de autor, precum și peste 100 de publicații în lucrări de conferințe. Este organizatoarea a aproximativ 10 ateliere de lucru și membră a comitetelor de organizare a conferințelor, atât în România, cât și în Europa, și, în plus, organizatoare a unor serii de sesiuni de conferințe de peste 20 de ani. Cea mai citată lucrare a sa se referă la bunăstare, în timp ce cercetările sale cele mai citate, în general, se referă la sistemele decizionale. </w:t>
            </w:r>
          </w:p>
          <w:p w:rsidR="00000000" w:rsidDel="00000000" w:rsidP="00000000" w:rsidRDefault="00000000" w:rsidRPr="00000000" w14:paraId="00000044">
            <w:pPr>
              <w:shd w:fill="ffffff" w:val="clear"/>
              <w:spacing w:after="120" w:lineRule="auto"/>
              <w:rPr>
                <w:i w:val="1"/>
                <w:sz w:val="18"/>
                <w:szCs w:val="18"/>
              </w:rPr>
            </w:pPr>
            <w:r w:rsidDel="00000000" w:rsidR="00000000" w:rsidRPr="00000000">
              <w:rPr>
                <w:rtl w:val="0"/>
              </w:rPr>
            </w:r>
          </w:p>
          <w:p w:rsidR="00000000" w:rsidDel="00000000" w:rsidP="00000000" w:rsidRDefault="00000000" w:rsidRPr="00000000" w14:paraId="00000045">
            <w:pPr>
              <w:shd w:fill="ffffff" w:val="clear"/>
              <w:spacing w:after="120" w:lineRule="auto"/>
              <w:rPr>
                <w:sz w:val="18"/>
                <w:szCs w:val="18"/>
              </w:rPr>
            </w:pPr>
            <w:r w:rsidDel="00000000" w:rsidR="00000000" w:rsidRPr="00000000">
              <w:rPr>
                <w:sz w:val="18"/>
                <w:szCs w:val="18"/>
                <w:rtl w:val="0"/>
              </w:rPr>
              <w:t xml:space="preserve">Este activă în slujba comunității de cercetare prin efectuarea de expertize pentru programe de finanțare europene (Marie Curie, security, New European Bauhaus, SMS, EIC etc.) și naționale (română, cehă, slovacă, franceză, elvețiană) începând cu anul 2012, precum și prin recenzii de lucrări în număr atât de mare încât a deținut de mai multe ori premiul Publons peer reviewer.</w:t>
            </w:r>
          </w:p>
          <w:p w:rsidR="00000000" w:rsidDel="00000000" w:rsidP="00000000" w:rsidRDefault="00000000" w:rsidRPr="00000000" w14:paraId="00000046">
            <w:pPr>
              <w:shd w:fill="ffffff" w:val="clear"/>
              <w:spacing w:after="120" w:lineRule="auto"/>
              <w:rPr>
                <w:sz w:val="18"/>
                <w:szCs w:val="18"/>
              </w:rPr>
            </w:pPr>
            <w:r w:rsidDel="00000000" w:rsidR="00000000" w:rsidRPr="00000000">
              <w:rPr>
                <w:sz w:val="18"/>
                <w:szCs w:val="18"/>
                <w:rtl w:val="0"/>
              </w:rPr>
              <w:t xml:space="preserve">Interdisciplinaritate: Pentru relația dintre structura spațială, funcțională și constructivă a clădirilor din prima jumătate a secolului al XX-lea aflate sub amenințare seismică a utilizat instrumente din diferite discipline, cum ar fi arhitectura, urbanismul, economia construcțiilor, ingineria civilă, arhitectura peisagistică și informatica. Din arhitectură a fost adoptată descompunerea morfologică, din urbanism a fost convertit principiul zonării pentru a fi utilizat la o singură clădire, din economia construcțiilor au fost folosite instrumente de management al proiectelor, din ingineria civilă nu a venit o metodă și instrumentele sale, ci aspectul abordat al adaptării clădirilor din diferite locații la pericolul seismic, extins mai târziu la modul în care arhitectura peisagistică reacționează la schimbările climatice. Planificarea urbană și economia (construcțiilor) sunt considerate științe sociale, iar ea a fost implicată în grupul "Riscuri naturale și societate" al EGU, promovând această interdisciplinaritate, de multe ori supravegheată, cu seismologia și ingineria seismică și, mai departe, cu științele umaniste.</w:t>
            </w:r>
          </w:p>
          <w:p w:rsidR="00000000" w:rsidDel="00000000" w:rsidP="00000000" w:rsidRDefault="00000000" w:rsidRPr="00000000" w14:paraId="00000047">
            <w:pPr>
              <w:shd w:fill="ffffff" w:val="clear"/>
              <w:spacing w:after="120" w:lineRule="auto"/>
              <w:rPr>
                <w:sz w:val="18"/>
                <w:szCs w:val="18"/>
              </w:rPr>
            </w:pPr>
            <w:r w:rsidDel="00000000" w:rsidR="00000000" w:rsidRPr="00000000">
              <w:rPr>
                <w:sz w:val="18"/>
                <w:szCs w:val="18"/>
                <w:rtl w:val="0"/>
              </w:rPr>
              <w:t xml:space="preserve">Aplicație. </w:t>
            </w:r>
          </w:p>
          <w:p w:rsidR="00000000" w:rsidDel="00000000" w:rsidP="00000000" w:rsidRDefault="00000000" w:rsidRPr="00000000" w14:paraId="00000048">
            <w:pPr>
              <w:shd w:fill="ffffff" w:val="clear"/>
              <w:spacing w:after="120" w:lineRule="auto"/>
              <w:rPr>
                <w:sz w:val="18"/>
                <w:szCs w:val="18"/>
              </w:rPr>
            </w:pPr>
            <w:r w:rsidDel="00000000" w:rsidR="00000000" w:rsidRPr="00000000">
              <w:rPr>
                <w:sz w:val="18"/>
                <w:szCs w:val="18"/>
                <w:rtl w:val="0"/>
              </w:rPr>
              <w:t xml:space="preserve">a. Cercetarea sa privind abordarea participativă, pe care a extins-o ulterior la dezastre, a fost aplicată prin implicarea sa în căminul studențesc din Karlsruhe, Germania, pentru menținerea independenței și în măsurile de însoțire a construcției unei noi aripi. Ea a fost activă în acest domeniu al cooperării cu ONG-urile atât la nivel local, cât și internațional. </w:t>
            </w:r>
          </w:p>
          <w:p w:rsidR="00000000" w:rsidDel="00000000" w:rsidP="00000000" w:rsidRDefault="00000000" w:rsidRPr="00000000" w14:paraId="00000049">
            <w:pPr>
              <w:shd w:fill="ffffff" w:val="clear"/>
              <w:spacing w:after="120" w:lineRule="auto"/>
              <w:rPr>
                <w:sz w:val="18"/>
                <w:szCs w:val="18"/>
              </w:rPr>
            </w:pPr>
            <w:r w:rsidDel="00000000" w:rsidR="00000000" w:rsidRPr="00000000">
              <w:rPr>
                <w:sz w:val="18"/>
                <w:szCs w:val="18"/>
                <w:rtl w:val="0"/>
              </w:rPr>
              <w:t xml:space="preserve">b. Rapoartele sale pentru Enciclopedia mondială a locuințelor, un proiect voluntar la nivel mondial, au contribuit la Rețeaua de zidărie confinată (cu Fachwerk), care a dus la contribuții în urma cutremurului din Haiti și, recent, la Rețeaua de zidărie de umplutură, cu obiective similare de a permite construcțiilor neinginerești să fie mai rezistente la seisme. Raportul privind construcțiile din beton armat a fost luat în considerare pentru tutorialul respectiv și care a fost tradus în bahasa indoneziană în urma cutremurului și a tsunami-ului din Sumatra din 2004. </w:t>
            </w:r>
          </w:p>
          <w:p w:rsidR="00000000" w:rsidDel="00000000" w:rsidP="00000000" w:rsidRDefault="00000000" w:rsidRPr="00000000" w14:paraId="0000004A">
            <w:pPr>
              <w:shd w:fill="ffffff" w:val="clear"/>
              <w:spacing w:after="120" w:lineRule="auto"/>
              <w:rPr>
                <w:sz w:val="18"/>
                <w:szCs w:val="18"/>
              </w:rPr>
            </w:pPr>
            <w:r w:rsidDel="00000000" w:rsidR="00000000" w:rsidRPr="00000000">
              <w:rPr>
                <w:sz w:val="18"/>
                <w:szCs w:val="18"/>
                <w:rtl w:val="0"/>
              </w:rPr>
              <w:t xml:space="preserve">c. Cercetări privind aplicabilitatea materialelor inovatoare, cum ar fi geotextilele, au fost realizate împreună cu Magdalena Bostenaru, Horia Boloșina și Ioana Siminea despre cum să integreze astfel de măsuri în intervențiile urbane și arhitecturale pentru a atenua dezastrele provocate de om, cum ar fi eroziunea, depozitele de cenușă și așa mai departe. Produsul a fost într-adevăr aplicat în situri miniere din România.</w:t>
            </w:r>
          </w:p>
          <w:p w:rsidR="00000000" w:rsidDel="00000000" w:rsidP="00000000" w:rsidRDefault="00000000" w:rsidRPr="00000000" w14:paraId="0000004B">
            <w:pPr>
              <w:shd w:fill="ffffff" w:val="clear"/>
              <w:spacing w:after="120" w:lineRule="auto"/>
              <w:rPr>
                <w:i w:val="1"/>
                <w:sz w:val="18"/>
                <w:szCs w:val="18"/>
              </w:rPr>
            </w:pPr>
            <w:r w:rsidDel="00000000" w:rsidR="00000000" w:rsidRPr="00000000">
              <w:rPr>
                <w:rtl w:val="0"/>
              </w:rPr>
            </w:r>
          </w:p>
          <w:p w:rsidR="00000000" w:rsidDel="00000000" w:rsidP="00000000" w:rsidRDefault="00000000" w:rsidRPr="00000000" w14:paraId="0000004C">
            <w:pPr>
              <w:shd w:fill="ffffff" w:val="clear"/>
              <w:spacing w:after="120" w:lineRule="auto"/>
              <w:rPr>
                <w:sz w:val="18"/>
                <w:szCs w:val="18"/>
              </w:rPr>
            </w:pPr>
            <w:r w:rsidDel="00000000" w:rsidR="00000000" w:rsidRPr="00000000">
              <w:rPr>
                <w:sz w:val="18"/>
                <w:szCs w:val="18"/>
                <w:rtl w:val="0"/>
              </w:rPr>
              <w:t xml:space="preserve">Impactul asupra sectorului non-academic din domeniul cultural (muzee): </w:t>
            </w:r>
          </w:p>
          <w:p w:rsidR="00000000" w:rsidDel="00000000" w:rsidP="00000000" w:rsidRDefault="00000000" w:rsidRPr="00000000" w14:paraId="0000004D">
            <w:pPr>
              <w:shd w:fill="ffffff" w:val="clear"/>
              <w:spacing w:after="120" w:lineRule="auto"/>
              <w:rPr>
                <w:sz w:val="18"/>
                <w:szCs w:val="18"/>
              </w:rPr>
            </w:pPr>
            <w:r w:rsidDel="00000000" w:rsidR="00000000" w:rsidRPr="00000000">
              <w:rPr>
                <w:sz w:val="18"/>
                <w:szCs w:val="18"/>
                <w:rtl w:val="0"/>
              </w:rPr>
              <w:t xml:space="preserve">o În timpul grantului de reintegrare, am avut o detașare la Centrul Canadian de Arhitectură, la un muzeu privat. Acolo, activitățile au constat în organizarea de prelegeri publice, în redactarea pentru alegerea cercetătorilor din colecție și în scrierea de diverse articole pe tema de cercetare a fotografiilor istorice (în principal din secolul al XIX-lea) despre cutremure, inundații și incendii. Analiza imaginilor de dezastre din acel proiect reprezintă modelul-suport pentru proiectul actual de analiză a imaginilor de clădiri rezistente sau vulnerabile la dezastre. </w:t>
            </w:r>
          </w:p>
          <w:p w:rsidR="00000000" w:rsidDel="00000000" w:rsidP="00000000" w:rsidRDefault="00000000" w:rsidRPr="00000000" w14:paraId="0000004E">
            <w:pPr>
              <w:shd w:fill="ffffff" w:val="clear"/>
              <w:spacing w:after="120" w:lineRule="auto"/>
              <w:rPr>
                <w:sz w:val="18"/>
                <w:szCs w:val="18"/>
              </w:rPr>
            </w:pPr>
            <w:r w:rsidDel="00000000" w:rsidR="00000000" w:rsidRPr="00000000">
              <w:rPr>
                <w:sz w:val="18"/>
                <w:szCs w:val="18"/>
                <w:rtl w:val="0"/>
              </w:rPr>
              <w:t xml:space="preserve">o A ținut prelegeri publice și, de asemenea, a făcut donații pentru colecția Muzeului Kiskún, Ungaria. Prelegerile au avut ca subiect patrimoniul Art Nouveau, care face parte din acest proiect. Sunt, de asemenea, premiate de Reseau Art Nouveau Network în acest domeniu (premiul misterios https://artnouveau-net.eu/de/action/2018-world-art-nouveau-day pentru identificarea celor mai multe clădiri Art Nouveau din Europa cu ocazia Zilei Art Nouveau - 10 iunie - în 2018 și a celui mai bun motto Art Nouveau în 2022). </w:t>
            </w:r>
          </w:p>
          <w:p w:rsidR="00000000" w:rsidDel="00000000" w:rsidP="00000000" w:rsidRDefault="00000000" w:rsidRPr="00000000" w14:paraId="0000004F">
            <w:pPr>
              <w:shd w:fill="ffffff" w:val="clear"/>
              <w:spacing w:after="120" w:lineRule="auto"/>
              <w:rPr>
                <w:sz w:val="18"/>
                <w:szCs w:val="18"/>
              </w:rPr>
            </w:pPr>
            <w:r w:rsidDel="00000000" w:rsidR="00000000" w:rsidRPr="00000000">
              <w:rPr>
                <w:sz w:val="18"/>
                <w:szCs w:val="18"/>
                <w:rtl w:val="0"/>
              </w:rPr>
              <w:t xml:space="preserve">o A făcut un stagiu în palatele și grădinile de stat din Baden-Württemberg, în Germania, la muzeul palatului Bruchsal. Aceasta a avut ca scop schimbul de cunoștințe acumulate în cadrul experienței Consiliului Internațional al Monumentelor și Siturilor (ICOMOS) privind gestionarea patrimoniului cultural. Din 2009 e membru al ICOMOS, care este cea mai relevantă organizație internațională interguvernamentală în domeniul patrimoniului cultural, iar din 2010 în două comitete științifice internaționale, ambele parte a ICOMOS: Comitetul științific internațional pentru analiza și restaurarea structurilor din patrimoniul arhitectural (ISCARSAH) și Comitetul științific internațional pentru economia conservării (ISCEC). Aici, a contribuit la documente de politică (pe teme de mediu, cum ar fi schimbările climatice) și la analiza documentară a două situri recomandate pentru a fi înscrise pe lista UNESCO. În calitate de membru al ISCEC, și-a concentrat activitatea asupra economiei reabilitării. Ca urmare, a fost lector invitat (Invited speaker) la Universitatea Tehnică din Lisabona la 17 aprilie 2013 (menționat în ARWU 2013 401-500 http://www.shanghairanking.com/ARWU2013.html - după cum se poate vedea în raport - pagina 41 -http://www.ceris.pt/pdfs_Activities_Reports/CERIS%20-%20Capitulo%202.pdf ). Invitația a fost făcută de Prof. Carlos Sousa Oliveira. Aceste afilieri la asociații profesionale vor servi pentru a face cunoscute rezultatele acestui proiect,precum și pentru crearea de rețele. </w:t>
            </w:r>
          </w:p>
          <w:p w:rsidR="00000000" w:rsidDel="00000000" w:rsidP="00000000" w:rsidRDefault="00000000" w:rsidRPr="00000000" w14:paraId="00000050">
            <w:pPr>
              <w:shd w:fill="ffffff" w:val="clear"/>
              <w:spacing w:after="120" w:lineRule="auto"/>
              <w:rPr>
                <w:sz w:val="18"/>
                <w:szCs w:val="18"/>
              </w:rPr>
            </w:pPr>
            <w:r w:rsidDel="00000000" w:rsidR="00000000" w:rsidRPr="00000000">
              <w:rPr>
                <w:sz w:val="18"/>
                <w:szCs w:val="18"/>
                <w:rtl w:val="0"/>
              </w:rPr>
              <w:t xml:space="preserve">o În 2020, a elaborat documentațiile solicitate de Ministerul Educației în vederea proiectării unui Muzeu al Educației, într-o clădire existentă aflată într-un sit istoric. Această documentație a fost realizată în conformitate cu legislația românească pentru proiecte publice. În prezent, proiectul a trecut în etapa următoare.</w:t>
            </w:r>
          </w:p>
          <w:p w:rsidR="00000000" w:rsidDel="00000000" w:rsidP="00000000" w:rsidRDefault="00000000" w:rsidRPr="00000000" w14:paraId="00000051">
            <w:pPr>
              <w:shd w:fill="ffffff" w:val="clear"/>
              <w:spacing w:after="120" w:lineRule="auto"/>
              <w:rPr>
                <w:sz w:val="18"/>
                <w:szCs w:val="18"/>
              </w:rPr>
            </w:pPr>
            <w:r w:rsidDel="00000000" w:rsidR="00000000" w:rsidRPr="00000000">
              <w:rPr>
                <w:sz w:val="18"/>
                <w:szCs w:val="18"/>
                <w:rtl w:val="0"/>
              </w:rPr>
              <w:t xml:space="preserve">A făcut parte din reprezentarea cercetării românești în străinătate ca parte a unor grupuri de utilizatori precum Liga Studenților Români din Străinătate, pentru colocviile CAESAR (acces la expertiza românilor din străinătate) pe tema mediului (hazard) și antreprenoriat cultural (abilitat de Ministerul Afacerilor Externe, direcția românilor de pretutindeni), precum și colaborator pentru expoziția cu tematică de femei pionier arhitecte la Londra la Institutul Cultural Român (ICR). O altă expoziție la care a lucrat a fost baza de date digitală (fotografii vechi de 100 de ani ale unui istoric de artă care își începea această profesie în România, un exemplu timpuriu, dar nu atât de detaliat cum s-a avut în vedere în acest proiect) care a fost expusă la Institutul Cultural Român de la Veneția. A obținut o bursă postdoctorală la Accademia di Romania din Roma pe tema femeilor pionier arhitecte și a apei între hazard și patrimoniu, unde a organizat, de asemenea, un atelier împreună cu EGU, care a fost sprijinit în comun de Ministerul Educației și Ministerul Afacerilor Externe. Partea de activități culturale s-a desfășurat sub egida ICR Roma, unde a fost voluntar pentru expoziții, în care au fost prezentate și rezultatele cercetărilor proprii, și ca operator de tururi ghidate în domeniul cercetării proprii. </w:t>
            </w:r>
          </w:p>
          <w:p w:rsidR="00000000" w:rsidDel="00000000" w:rsidP="00000000" w:rsidRDefault="00000000" w:rsidRPr="00000000" w14:paraId="00000052">
            <w:pPr>
              <w:shd w:fill="ffffff" w:val="clear"/>
              <w:spacing w:after="120" w:lineRule="auto"/>
              <w:rPr>
                <w:sz w:val="18"/>
                <w:szCs w:val="18"/>
              </w:rPr>
            </w:pPr>
            <w:r w:rsidDel="00000000" w:rsidR="00000000" w:rsidRPr="00000000">
              <w:rPr>
                <w:sz w:val="18"/>
                <w:szCs w:val="18"/>
                <w:rtl w:val="0"/>
              </w:rPr>
              <w:t xml:space="preserve">A ținut prelegeri la casa de cultură Schiller din București, casa minorității germane, în colaborare cu Primăria Municipiului București și cu Departamentul pentru relații interetnice din România (diplomație culturală) precum și la biserica reformată maghiară la întrunirile grupului Academiei Maghiare.</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ffffff" w:val="clear"/>
              <w:spacing w:after="120" w:before="0" w:line="240" w:lineRule="auto"/>
              <w:ind w:right="0"/>
              <w:jc w:val="left"/>
              <w:rPr>
                <w:i w:val="1"/>
                <w:sz w:val="18"/>
                <w:szCs w:val="18"/>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054">
            <w:pPr>
              <w:tabs>
                <w:tab w:val="left" w:leader="none" w:pos="993"/>
              </w:tabs>
              <w:jc w:val="center"/>
              <w:rPr>
                <w:b w:val="1"/>
              </w:rPr>
            </w:pPr>
            <w:r w:rsidDel="00000000" w:rsidR="00000000" w:rsidRPr="00000000">
              <w:rPr>
                <w:b w:val="1"/>
                <w:rtl w:val="0"/>
              </w:rPr>
              <w:t xml:space="preserve">4.2.</w:t>
            </w:r>
          </w:p>
        </w:tc>
        <w:tc>
          <w:tcPr/>
          <w:p w:rsidR="00000000" w:rsidDel="00000000" w:rsidP="00000000" w:rsidRDefault="00000000" w:rsidRPr="00000000" w14:paraId="00000055">
            <w:pPr>
              <w:tabs>
                <w:tab w:val="left" w:leader="none" w:pos="993"/>
              </w:tabs>
              <w:rPr>
                <w:b w:val="1"/>
              </w:rPr>
            </w:pPr>
            <w:r w:rsidDel="00000000" w:rsidR="00000000" w:rsidRPr="00000000">
              <w:rPr>
                <w:b w:val="1"/>
                <w:rtl w:val="0"/>
              </w:rPr>
              <w:t xml:space="preserve">Experiența semnificativă pentru postul în concurs</w:t>
            </w:r>
          </w:p>
          <w:p w:rsidR="00000000" w:rsidDel="00000000" w:rsidP="00000000" w:rsidRDefault="00000000" w:rsidRPr="00000000" w14:paraId="00000056">
            <w:pPr>
              <w:tabs>
                <w:tab w:val="left" w:leader="none" w:pos="993"/>
              </w:tabs>
              <w:rPr>
                <w:rFonts w:ascii="Calibri" w:cs="Calibri" w:eastAsia="Calibri" w:hAnsi="Calibri"/>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57">
            <w:pPr>
              <w:tabs>
                <w:tab w:val="left" w:leader="none" w:pos="993"/>
              </w:tabs>
              <w:rPr>
                <w:i w:val="1"/>
                <w:sz w:val="18"/>
                <w:szCs w:val="18"/>
              </w:rPr>
            </w:pPr>
            <w:r w:rsidDel="00000000" w:rsidR="00000000" w:rsidRPr="00000000">
              <w:rPr>
                <w:i w:val="1"/>
                <w:sz w:val="18"/>
                <w:szCs w:val="18"/>
                <w:rtl w:val="0"/>
              </w:rPr>
              <w:t xml:space="preserve">Se prezintă realizările profesionale în domeniul postului și experiența de predare la nivel universitar.</w:t>
            </w:r>
          </w:p>
          <w:p w:rsidR="00000000" w:rsidDel="00000000" w:rsidP="00000000" w:rsidRDefault="00000000" w:rsidRPr="00000000" w14:paraId="00000058">
            <w:pPr>
              <w:tabs>
                <w:tab w:val="left" w:leader="none" w:pos="993"/>
              </w:tabs>
              <w:rPr>
                <w:i w:val="1"/>
                <w:sz w:val="18"/>
                <w:szCs w:val="18"/>
              </w:rPr>
            </w:pPr>
            <w:r w:rsidDel="00000000" w:rsidR="00000000" w:rsidRPr="00000000">
              <w:rPr>
                <w:i w:val="1"/>
                <w:sz w:val="18"/>
                <w:szCs w:val="18"/>
                <w:rtl w:val="0"/>
              </w:rPr>
              <w:t xml:space="preserve">Se evidențiază:</w:t>
            </w:r>
          </w:p>
          <w:p w:rsidR="00000000" w:rsidDel="00000000" w:rsidP="00000000" w:rsidRDefault="00000000" w:rsidRPr="00000000" w14:paraId="00000059">
            <w:pPr>
              <w:numPr>
                <w:ilvl w:val="0"/>
                <w:numId w:val="2"/>
              </w:numPr>
              <w:shd w:fill="ffffff" w:val="clear"/>
              <w:ind w:left="360" w:hanging="360"/>
              <w:rPr>
                <w:rFonts w:ascii="Calibri" w:cs="Calibri" w:eastAsia="Calibri" w:hAnsi="Calibri"/>
                <w:i w:val="1"/>
                <w:sz w:val="18"/>
                <w:szCs w:val="18"/>
              </w:rPr>
            </w:pPr>
            <w:r w:rsidDel="00000000" w:rsidR="00000000" w:rsidRPr="00000000">
              <w:rPr>
                <w:rFonts w:ascii="Calibri" w:cs="Calibri" w:eastAsia="Calibri" w:hAnsi="Calibri"/>
                <w:i w:val="1"/>
                <w:sz w:val="18"/>
                <w:szCs w:val="18"/>
                <w:rtl w:val="0"/>
              </w:rPr>
              <w:t xml:space="preserve">capacitatea de a conduce proiecte relevante din perspectiva domeniului și ariei disciplinare a postului vizat;</w:t>
            </w:r>
          </w:p>
          <w:p w:rsidR="00000000" w:rsidDel="00000000" w:rsidP="00000000" w:rsidRDefault="00000000" w:rsidRPr="00000000" w14:paraId="0000005A">
            <w:pPr>
              <w:shd w:fill="ffffff" w:val="clear"/>
              <w:spacing w:after="120" w:lineRule="auto"/>
              <w:ind w:left="0" w:firstLine="0"/>
              <w:rPr>
                <w:i w:val="1"/>
                <w:sz w:val="18"/>
                <w:szCs w:val="18"/>
              </w:rPr>
            </w:pPr>
            <w:r w:rsidDel="00000000" w:rsidR="00000000" w:rsidRPr="00000000">
              <w:rPr>
                <w:rtl w:val="0"/>
              </w:rPr>
            </w:r>
          </w:p>
          <w:p w:rsidR="00000000" w:rsidDel="00000000" w:rsidP="00000000" w:rsidRDefault="00000000" w:rsidRPr="00000000" w14:paraId="0000005B">
            <w:pPr>
              <w:shd w:fill="ffffff" w:val="clear"/>
              <w:spacing w:after="120" w:lineRule="auto"/>
              <w:rPr>
                <w:sz w:val="18"/>
                <w:szCs w:val="18"/>
              </w:rPr>
            </w:pPr>
            <w:r w:rsidDel="00000000" w:rsidR="00000000" w:rsidRPr="00000000">
              <w:rPr>
                <w:sz w:val="18"/>
                <w:szCs w:val="18"/>
                <w:rtl w:val="0"/>
              </w:rPr>
              <w:t xml:space="preserve">Așa cum se va evidenția la modului 3, cercetătoarea este director de proiect la un proiect de anvergură în prezent. Înainte de acesta a condus un proiect mai mic, din finanțare FFCSU, tot ca director de proiect. A activat însă în numeroase comitete de management (inclusiv ca observator și supleant) pentru acțiuni COST, dintre care la modului 3 este listată cea în care este și în grupul nucleu, precum și ca steering committee member pentru o rețea finanțată prin European Science Foundation, NeDiMAH. De asemenea, a beneficiat de proiecte Marie Curie individuale de avengură, primul având o finanțare similară cu cel curent. Atât acțiunile COST și rețeaua ESF, cât și granturile Marie Curie sunt cu finanțare și desfășurare la nivel european.</w:t>
            </w:r>
          </w:p>
          <w:p w:rsidR="00000000" w:rsidDel="00000000" w:rsidP="00000000" w:rsidRDefault="00000000" w:rsidRPr="00000000" w14:paraId="0000005C">
            <w:pPr>
              <w:shd w:fill="ffffff" w:val="clear"/>
              <w:spacing w:after="120" w:lineRule="auto"/>
              <w:rPr>
                <w:sz w:val="18"/>
                <w:szCs w:val="18"/>
              </w:rPr>
            </w:pPr>
            <w:r w:rsidDel="00000000" w:rsidR="00000000" w:rsidRPr="00000000">
              <w:rPr>
                <w:rtl w:val="0"/>
              </w:rPr>
            </w:r>
          </w:p>
          <w:p w:rsidR="00000000" w:rsidDel="00000000" w:rsidP="00000000" w:rsidRDefault="00000000" w:rsidRPr="00000000" w14:paraId="0000005D">
            <w:pPr>
              <w:numPr>
                <w:ilvl w:val="0"/>
                <w:numId w:val="2"/>
              </w:numPr>
              <w:shd w:fill="ffffff" w:val="clear"/>
              <w:ind w:left="360"/>
              <w:rPr>
                <w:i w:val="1"/>
                <w:sz w:val="18"/>
                <w:szCs w:val="18"/>
              </w:rPr>
            </w:pPr>
            <w:r w:rsidDel="00000000" w:rsidR="00000000" w:rsidRPr="00000000">
              <w:rPr>
                <w:i w:val="1"/>
                <w:sz w:val="18"/>
                <w:szCs w:val="18"/>
                <w:rtl w:val="0"/>
              </w:rPr>
              <w:t xml:space="preserve">capacitatea de a lucra în echipă şi eficienţa colaborărilor profesionale și ştiinţifice ale candidatului, în funcţie de specificul domeniului;</w:t>
            </w:r>
          </w:p>
          <w:p w:rsidR="00000000" w:rsidDel="00000000" w:rsidP="00000000" w:rsidRDefault="00000000" w:rsidRPr="00000000" w14:paraId="0000005E">
            <w:pPr>
              <w:shd w:fill="ffffff" w:val="clear"/>
              <w:spacing w:after="120" w:lineRule="auto"/>
              <w:rPr>
                <w:sz w:val="18"/>
                <w:szCs w:val="18"/>
              </w:rPr>
            </w:pPr>
            <w:r w:rsidDel="00000000" w:rsidR="00000000" w:rsidRPr="00000000">
              <w:rPr>
                <w:rtl w:val="0"/>
              </w:rPr>
            </w:r>
          </w:p>
          <w:p w:rsidR="00000000" w:rsidDel="00000000" w:rsidP="00000000" w:rsidRDefault="00000000" w:rsidRPr="00000000" w14:paraId="0000005F">
            <w:pPr>
              <w:shd w:fill="ffffff" w:val="clear"/>
              <w:spacing w:after="120" w:lineRule="auto"/>
              <w:rPr>
                <w:sz w:val="18"/>
                <w:szCs w:val="18"/>
              </w:rPr>
            </w:pPr>
            <w:r w:rsidDel="00000000" w:rsidR="00000000" w:rsidRPr="00000000">
              <w:rPr>
                <w:sz w:val="18"/>
                <w:szCs w:val="18"/>
                <w:rtl w:val="0"/>
              </w:rPr>
              <w:t xml:space="preserve">După cum se arată în modulul 1, o parte importantă a cercetării sale este dedicată cercetării privind lucrul cu oamenii, fie despre leadership (decizii de întâlnire ca moderator al proceselor urbane complexe), fie despre bunăstare. Pe lângă lucrarea citată privind starea de bine, a fost propunerea secundară și în prezent este membră a grupului de bază al acțiunii COST CA19117 "Sănătatea mentală a cercetătorilor", făcând parte din comitetele de conferință pentru aceasta și găzduind o misiune științifică pe termen scurt.  </w:t>
            </w:r>
          </w:p>
          <w:p w:rsidR="00000000" w:rsidDel="00000000" w:rsidP="00000000" w:rsidRDefault="00000000" w:rsidRPr="00000000" w14:paraId="00000060">
            <w:pPr>
              <w:shd w:fill="ffffff" w:val="clear"/>
              <w:spacing w:after="120" w:lineRule="auto"/>
              <w:rPr>
                <w:sz w:val="18"/>
                <w:szCs w:val="18"/>
              </w:rPr>
            </w:pPr>
            <w:r w:rsidDel="00000000" w:rsidR="00000000" w:rsidRPr="00000000">
              <w:rPr>
                <w:sz w:val="18"/>
                <w:szCs w:val="18"/>
                <w:rtl w:val="0"/>
              </w:rPr>
              <w:t xml:space="preserve">Impactul politicii științifice (femeile în știință https://sites.google.com/view/mobilewomeninscience/home): ca membru activ în Asociația Marie Curie Fellows, în grupul mWiSET și, ulterior, în Asociația Marie Curie Alumni, în grupul GEMS (transformat acum în GEDI pentru a lua în considerare și alte tipuri de diversitate) și ca fondator al capitolului românesc. Am încercat să fiu un model de urmat prin organizarea de sesiuni la reuniunile Eurodoc, Euroscience (2014 a apărut în revista Nature) și European Geosciences Union (EGU) (prezentată ca punct culminant, servind proiectul de networking Humboldt al Ira Didenkulova) și prin reprezentarea asociației în cadrul acțiunii politice specifice Cooperării Europene în Știință și Tehnologie (COST) Gender, Science, Technology and Environment Această lucrare este legată de cercetarea mea: Privesc la femeile din domeniul meu atât ca subiect, cât și ca obiect, deoarece intervalul de timp ales pentru acest proiect este în mod specific momentul în care femeile au intrat în profesie. Ele au fost pioniere. De curând, este, de asemenea, membră a grupului de lucru privind memoria și identitatea în cadrul acțiunii COST "Women on the move" și al acțiunii COST "Gender voices".</w:t>
            </w:r>
          </w:p>
          <w:p w:rsidR="00000000" w:rsidDel="00000000" w:rsidP="00000000" w:rsidRDefault="00000000" w:rsidRPr="00000000" w14:paraId="00000061">
            <w:pPr>
              <w:shd w:fill="ffffff" w:val="clear"/>
              <w:spacing w:after="120" w:lineRule="auto"/>
              <w:rPr>
                <w:i w:val="1"/>
                <w:sz w:val="18"/>
                <w:szCs w:val="18"/>
              </w:rPr>
            </w:pPr>
            <w:r w:rsidDel="00000000" w:rsidR="00000000" w:rsidRPr="00000000">
              <w:rPr>
                <w:rtl w:val="0"/>
              </w:rPr>
            </w:r>
          </w:p>
          <w:p w:rsidR="00000000" w:rsidDel="00000000" w:rsidP="00000000" w:rsidRDefault="00000000" w:rsidRPr="00000000" w14:paraId="00000062">
            <w:pPr>
              <w:numPr>
                <w:ilvl w:val="0"/>
                <w:numId w:val="2"/>
              </w:numPr>
              <w:shd w:fill="ffffff" w:val="clear"/>
              <w:ind w:left="360"/>
              <w:rPr>
                <w:i w:val="1"/>
                <w:sz w:val="18"/>
                <w:szCs w:val="18"/>
              </w:rPr>
            </w:pPr>
            <w:r w:rsidDel="00000000" w:rsidR="00000000" w:rsidRPr="00000000">
              <w:rPr>
                <w:i w:val="1"/>
                <w:sz w:val="18"/>
                <w:szCs w:val="18"/>
                <w:rtl w:val="0"/>
              </w:rPr>
              <w:t xml:space="preserve">capacitatea de a îndruma studenţi și/sau tineri cercetători;</w:t>
            </w:r>
          </w:p>
          <w:p w:rsidR="00000000" w:rsidDel="00000000" w:rsidP="00000000" w:rsidRDefault="00000000" w:rsidRPr="00000000" w14:paraId="00000063">
            <w:pPr>
              <w:shd w:fill="ffffff" w:val="clear"/>
              <w:spacing w:after="120" w:lineRule="auto"/>
              <w:rPr>
                <w:b w:val="1"/>
                <w:i w:val="1"/>
                <w:sz w:val="18"/>
                <w:szCs w:val="18"/>
              </w:rPr>
            </w:pPr>
            <w:r w:rsidDel="00000000" w:rsidR="00000000" w:rsidRPr="00000000">
              <w:rPr>
                <w:rtl w:val="0"/>
              </w:rPr>
            </w:r>
          </w:p>
          <w:p w:rsidR="00000000" w:rsidDel="00000000" w:rsidP="00000000" w:rsidRDefault="00000000" w:rsidRPr="00000000" w14:paraId="00000064">
            <w:pPr>
              <w:shd w:fill="ffffff" w:val="clear"/>
              <w:spacing w:after="120" w:lineRule="auto"/>
              <w:rPr>
                <w:sz w:val="18"/>
                <w:szCs w:val="18"/>
              </w:rPr>
            </w:pPr>
            <w:r w:rsidDel="00000000" w:rsidR="00000000" w:rsidRPr="00000000">
              <w:rPr>
                <w:sz w:val="18"/>
                <w:szCs w:val="18"/>
                <w:rtl w:val="0"/>
              </w:rPr>
              <w:t xml:space="preserve">În timpul cercetării doctorale de la Karlsruhe a îndrumat două lucrări de diplomă și o lucrare de aprofundare, în domeniul managementului construcțiilor.</w:t>
            </w:r>
          </w:p>
          <w:p w:rsidR="00000000" w:rsidDel="00000000" w:rsidP="00000000" w:rsidRDefault="00000000" w:rsidRPr="00000000" w14:paraId="00000065">
            <w:pPr>
              <w:shd w:fill="ffffff" w:val="clear"/>
              <w:spacing w:after="120" w:lineRule="auto"/>
              <w:rPr>
                <w:sz w:val="18"/>
                <w:szCs w:val="18"/>
              </w:rPr>
            </w:pPr>
            <w:r w:rsidDel="00000000" w:rsidR="00000000" w:rsidRPr="00000000">
              <w:rPr>
                <w:sz w:val="18"/>
                <w:szCs w:val="18"/>
                <w:rtl w:val="0"/>
              </w:rPr>
              <w:t xml:space="preserve">În rețeaua NeDiMAH au fost implicați și tineri cercetători/doctoranzi.</w:t>
            </w:r>
          </w:p>
          <w:p w:rsidR="00000000" w:rsidDel="00000000" w:rsidP="00000000" w:rsidRDefault="00000000" w:rsidRPr="00000000" w14:paraId="00000066">
            <w:pPr>
              <w:shd w:fill="ffffff" w:val="clear"/>
              <w:spacing w:after="120" w:lineRule="auto"/>
              <w:rPr>
                <w:sz w:val="18"/>
                <w:szCs w:val="18"/>
              </w:rPr>
            </w:pPr>
            <w:r w:rsidDel="00000000" w:rsidR="00000000" w:rsidRPr="00000000">
              <w:rPr>
                <w:sz w:val="18"/>
                <w:szCs w:val="18"/>
                <w:rtl w:val="0"/>
              </w:rPr>
              <w:t xml:space="preserve">De asemenea, în proiectul FFCSU au fost implicați 5 doctoranzi.</w:t>
            </w:r>
          </w:p>
          <w:p w:rsidR="00000000" w:rsidDel="00000000" w:rsidP="00000000" w:rsidRDefault="00000000" w:rsidRPr="00000000" w14:paraId="00000067">
            <w:pPr>
              <w:shd w:fill="ffffff" w:val="clear"/>
              <w:spacing w:after="120" w:lineRule="auto"/>
              <w:rPr>
                <w:sz w:val="18"/>
                <w:szCs w:val="18"/>
              </w:rPr>
            </w:pPr>
            <w:r w:rsidDel="00000000" w:rsidR="00000000" w:rsidRPr="00000000">
              <w:rPr>
                <w:sz w:val="18"/>
                <w:szCs w:val="18"/>
                <w:rtl w:val="0"/>
              </w:rPr>
              <w:t xml:space="preserve">În proiectul actual supervizeaza 2 cercetători postdoctorali.</w:t>
            </w:r>
          </w:p>
          <w:p w:rsidR="00000000" w:rsidDel="00000000" w:rsidP="00000000" w:rsidRDefault="00000000" w:rsidRPr="00000000" w14:paraId="00000068">
            <w:pPr>
              <w:shd w:fill="ffffff" w:val="clear"/>
              <w:spacing w:after="120" w:lineRule="auto"/>
              <w:rPr>
                <w:sz w:val="18"/>
                <w:szCs w:val="18"/>
              </w:rPr>
            </w:pPr>
            <w:r w:rsidDel="00000000" w:rsidR="00000000" w:rsidRPr="00000000">
              <w:rPr>
                <w:rtl w:val="0"/>
              </w:rPr>
            </w:r>
          </w:p>
          <w:p w:rsidR="00000000" w:rsidDel="00000000" w:rsidP="00000000" w:rsidRDefault="00000000" w:rsidRPr="00000000" w14:paraId="00000069">
            <w:pPr>
              <w:numPr>
                <w:ilvl w:val="0"/>
                <w:numId w:val="2"/>
              </w:numPr>
              <w:shd w:fill="ffffff" w:val="clear"/>
              <w:spacing w:after="120" w:lineRule="auto"/>
              <w:ind w:left="357"/>
              <w:rPr>
                <w:i w:val="1"/>
                <w:sz w:val="18"/>
                <w:szCs w:val="18"/>
              </w:rPr>
            </w:pPr>
            <w:r w:rsidDel="00000000" w:rsidR="00000000" w:rsidRPr="00000000">
              <w:rPr>
                <w:i w:val="1"/>
                <w:sz w:val="18"/>
                <w:szCs w:val="18"/>
                <w:rtl w:val="0"/>
              </w:rPr>
              <w:t xml:space="preserve">experienţa profesională în UAUIM și în alte instituţii de învăţământ superior, instituții de cercetare sau firme de proiectare, după caz.</w:t>
            </w:r>
          </w:p>
          <w:p w:rsidR="00000000" w:rsidDel="00000000" w:rsidP="00000000" w:rsidRDefault="00000000" w:rsidRPr="00000000" w14:paraId="0000006A">
            <w:pPr>
              <w:shd w:fill="ffffff" w:val="clear"/>
              <w:spacing w:after="120" w:lineRule="auto"/>
              <w:rPr>
                <w:sz w:val="18"/>
                <w:szCs w:val="18"/>
              </w:rPr>
            </w:pPr>
            <w:r w:rsidDel="00000000" w:rsidR="00000000" w:rsidRPr="00000000">
              <w:rPr>
                <w:sz w:val="18"/>
                <w:szCs w:val="18"/>
                <w:rtl w:val="0"/>
              </w:rPr>
              <w:t xml:space="preserve">Cercetătoarea are experiență profesională ca cercetător de aproape 17 ani în UAUIM, cercetarea desfășurându-se la 3 departamente diferite: Catedra de conservarea patrimoniului (4 ani), Departamentul de Proiectare Urbană și Peisagistică (9 ani) și Departamentul pentru Managementul Cercetării (în prezent, aproape 4 ani). De asemenea, a colaborat cu Centrul de Studii Arhitecturale și Urbane.</w:t>
            </w:r>
          </w:p>
          <w:p w:rsidR="00000000" w:rsidDel="00000000" w:rsidP="00000000" w:rsidRDefault="00000000" w:rsidRPr="00000000" w14:paraId="0000006B">
            <w:pPr>
              <w:shd w:fill="ffffff" w:val="clear"/>
              <w:spacing w:after="120" w:lineRule="auto"/>
              <w:rPr>
                <w:sz w:val="18"/>
                <w:szCs w:val="18"/>
              </w:rPr>
            </w:pPr>
            <w:r w:rsidDel="00000000" w:rsidR="00000000" w:rsidRPr="00000000">
              <w:rPr>
                <w:sz w:val="18"/>
                <w:szCs w:val="18"/>
                <w:rtl w:val="0"/>
              </w:rPr>
              <w:t xml:space="preserve">Pe perioada activității de la UAUIM a fost membru în paralel și într-un proiect de cercetare exploratorie (aproape 4 ani)  de la Centrul pentru studii de risk al Facultății de geografie al Universității din București, unde a beneficiat și de o bursă postdoctorală în cadrul programului POSDRU (peste un an). </w:t>
            </w:r>
          </w:p>
          <w:p w:rsidR="00000000" w:rsidDel="00000000" w:rsidP="00000000" w:rsidRDefault="00000000" w:rsidRPr="00000000" w14:paraId="0000006C">
            <w:pPr>
              <w:shd w:fill="ffffff" w:val="clear"/>
              <w:spacing w:after="120" w:lineRule="auto"/>
              <w:rPr>
                <w:sz w:val="18"/>
                <w:szCs w:val="18"/>
              </w:rPr>
            </w:pPr>
            <w:r w:rsidDel="00000000" w:rsidR="00000000" w:rsidRPr="00000000">
              <w:rPr>
                <w:sz w:val="18"/>
                <w:szCs w:val="18"/>
                <w:rtl w:val="0"/>
              </w:rPr>
              <w:t xml:space="preserve">Tot pe perioada activității de la UAUIM a fost detașată din partea UAUIM cu stagiu postdoctoral la Accademia di Romania a Roma, din Italia (un an universitar). Aceasta este o instituție parțial neacademică, în cooperare cu Institutul Cultural Român. În afară de aceasta, a beneficiat și de două stagii de cercetare neacademică în muzee, la Bruchsal, Germania (10 zile) și în Canada (o lună). De asemenea, grantul de reintegrare Marie Curie a fost într-o instituție pentru formarea adulților (3 ani), cercetătoarea având și certificat de formator obținut ulterior.</w:t>
            </w:r>
          </w:p>
          <w:p w:rsidR="00000000" w:rsidDel="00000000" w:rsidP="00000000" w:rsidRDefault="00000000" w:rsidRPr="00000000" w14:paraId="0000006D">
            <w:pPr>
              <w:shd w:fill="ffffff" w:val="clear"/>
              <w:spacing w:after="120" w:lineRule="auto"/>
              <w:rPr>
                <w:sz w:val="18"/>
                <w:szCs w:val="18"/>
              </w:rPr>
            </w:pPr>
            <w:r w:rsidDel="00000000" w:rsidR="00000000" w:rsidRPr="00000000">
              <w:rPr>
                <w:sz w:val="18"/>
                <w:szCs w:val="18"/>
                <w:rtl w:val="0"/>
              </w:rPr>
              <w:t xml:space="preserve">Înainte de a veni la UAUIM a desfășurat cercetare în Italia, cu bursa individuală intra-europeană Marie Curie (2 ani) amintită, la Istituto Universitario di Studi Superiori di Pavia, o structură nou înființată prin colaborarea sistemului unic pentru Italia  de colegii (cămine)  similare celor din Oxford și Cambridge și al Universității din Pavia, una din cele mai vechi din lume, și în același timp universitate de top acum.</w:t>
            </w:r>
          </w:p>
          <w:p w:rsidR="00000000" w:rsidDel="00000000" w:rsidP="00000000" w:rsidRDefault="00000000" w:rsidRPr="00000000" w14:paraId="0000006E">
            <w:pPr>
              <w:shd w:fill="ffffff" w:val="clear"/>
              <w:spacing w:after="120" w:lineRule="auto"/>
              <w:rPr>
                <w:sz w:val="18"/>
                <w:szCs w:val="18"/>
              </w:rPr>
            </w:pPr>
            <w:r w:rsidDel="00000000" w:rsidR="00000000" w:rsidRPr="00000000">
              <w:rPr>
                <w:sz w:val="18"/>
                <w:szCs w:val="18"/>
                <w:rtl w:val="0"/>
              </w:rPr>
              <w:t xml:space="preserve">La Pavia a fost și cu stagiu doctoral (jumătate de an), tot Marie Curie, pe perioada cercetării de la Universitatea din Karlsruhe (acum Karlsruhe Institute of Technology) din Germania, cercetare pe care a început să o desfășoare imediat după absolvirea studiilor de arhitectură, tot la Karlsruhe (peste 4 ani). A mai beneficiat de stagii de cercetare la Karlsruhe în cadrul programului postdoctoral (o lună) și în cadrul acțiunii COST de managementul patrimoniului (5 săptămâni și respectiv 10 zile) precum și al rețelei NeDiMAH (2 săptămâni).</w:t>
            </w:r>
          </w:p>
          <w:p w:rsidR="00000000" w:rsidDel="00000000" w:rsidP="00000000" w:rsidRDefault="00000000" w:rsidRPr="00000000" w14:paraId="0000006F">
            <w:pPr>
              <w:shd w:fill="ffffff" w:val="clear"/>
              <w:spacing w:after="120" w:lineRule="auto"/>
              <w:rPr>
                <w:sz w:val="18"/>
                <w:szCs w:val="18"/>
              </w:rPr>
            </w:pPr>
            <w:r w:rsidDel="00000000" w:rsidR="00000000" w:rsidRPr="00000000">
              <w:rPr>
                <w:sz w:val="18"/>
                <w:szCs w:val="18"/>
                <w:rtl w:val="0"/>
              </w:rPr>
              <w:t xml:space="preserve">În afară de aceasta a beneficiat de stagii de cercetare în două universități din Portugalia (Algarve - peste 5 săptămâni - și ISCTE-IUL - o lună) și tot atâtea în Ungaria (unde deși Facultatea de peisagistică a aparținut de universități diferite în timpul stagiilor, era aceeași).</w:t>
            </w:r>
          </w:p>
          <w:p w:rsidR="00000000" w:rsidDel="00000000" w:rsidP="00000000" w:rsidRDefault="00000000" w:rsidRPr="00000000" w14:paraId="00000070">
            <w:pPr>
              <w:shd w:fill="ffffff" w:val="clear"/>
              <w:spacing w:after="120" w:lineRule="auto"/>
              <w:ind w:left="0" w:firstLine="0"/>
              <w:rPr>
                <w:i w:val="1"/>
                <w:sz w:val="18"/>
                <w:szCs w:val="18"/>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071">
            <w:pPr>
              <w:tabs>
                <w:tab w:val="left" w:leader="none" w:pos="993"/>
              </w:tabs>
              <w:jc w:val="center"/>
              <w:rPr>
                <w:b w:val="1"/>
              </w:rPr>
            </w:pPr>
            <w:r w:rsidDel="00000000" w:rsidR="00000000" w:rsidRPr="00000000">
              <w:rPr>
                <w:b w:val="1"/>
                <w:rtl w:val="0"/>
              </w:rPr>
              <w:t xml:space="preserve">4.3.</w:t>
            </w:r>
          </w:p>
        </w:tc>
        <w:tc>
          <w:tcPr/>
          <w:p w:rsidR="00000000" w:rsidDel="00000000" w:rsidP="00000000" w:rsidRDefault="00000000" w:rsidRPr="00000000" w14:paraId="00000072">
            <w:pPr>
              <w:shd w:fill="ffffff" w:val="clear"/>
              <w:rPr>
                <w:rFonts w:ascii="Calibri" w:cs="Calibri" w:eastAsia="Calibri" w:hAnsi="Calibri"/>
                <w:b w:val="1"/>
              </w:rPr>
            </w:pPr>
            <w:r w:rsidDel="00000000" w:rsidR="00000000" w:rsidRPr="00000000">
              <w:rPr>
                <w:rFonts w:ascii="Calibri" w:cs="Calibri" w:eastAsia="Calibri" w:hAnsi="Calibri"/>
                <w:b w:val="1"/>
                <w:rtl w:val="0"/>
              </w:rPr>
              <w:t xml:space="preserve">Calitatea activității didactice/de cercetare prestate (după caz)</w:t>
            </w:r>
          </w:p>
          <w:p w:rsidR="00000000" w:rsidDel="00000000" w:rsidP="00000000" w:rsidRDefault="00000000" w:rsidRPr="00000000" w14:paraId="00000073">
            <w:pPr>
              <w:shd w:fill="ffffff" w:val="clear"/>
              <w:spacing w:line="276" w:lineRule="auto"/>
              <w:rPr>
                <w:rFonts w:ascii="Calibri" w:cs="Calibri" w:eastAsia="Calibri" w:hAnsi="Calibri"/>
              </w:rPr>
            </w:pPr>
            <w:r w:rsidDel="00000000" w:rsidR="00000000" w:rsidRPr="00000000">
              <w:rPr>
                <w:rtl w:val="0"/>
              </w:rPr>
            </w:r>
          </w:p>
        </w:tc>
        <w:tc>
          <w:tcPr>
            <w:shd w:fill="auto" w:val="clear"/>
            <w:vAlign w:val="center"/>
          </w:tcPr>
          <w:p w:rsidR="00000000" w:rsidDel="00000000" w:rsidP="00000000" w:rsidRDefault="00000000" w:rsidRPr="00000000" w14:paraId="00000074">
            <w:pPr>
              <w:tabs>
                <w:tab w:val="left" w:leader="none" w:pos="993"/>
              </w:tabs>
              <w:rPr>
                <w:rFonts w:ascii="Calibri" w:cs="Calibri" w:eastAsia="Calibri" w:hAnsi="Calibri"/>
                <w:i w:val="1"/>
                <w:sz w:val="18"/>
                <w:szCs w:val="18"/>
              </w:rPr>
            </w:pPr>
            <w:r w:rsidDel="00000000" w:rsidR="00000000" w:rsidRPr="00000000">
              <w:rPr>
                <w:rFonts w:ascii="Calibri" w:cs="Calibri" w:eastAsia="Calibri" w:hAnsi="Calibri"/>
                <w:i w:val="1"/>
                <w:sz w:val="18"/>
                <w:szCs w:val="18"/>
                <w:u w:val="single"/>
                <w:rtl w:val="0"/>
              </w:rPr>
              <w:t xml:space="preserve">Pentru posturile de cercetare</w:t>
            </w:r>
            <w:r w:rsidDel="00000000" w:rsidR="00000000" w:rsidRPr="00000000">
              <w:rPr>
                <w:rFonts w:ascii="Calibri" w:cs="Calibri" w:eastAsia="Calibri" w:hAnsi="Calibri"/>
                <w:i w:val="1"/>
                <w:sz w:val="18"/>
                <w:szCs w:val="18"/>
                <w:rtl w:val="0"/>
              </w:rPr>
              <w:t xml:space="preserve">: se evidențiază </w:t>
            </w:r>
            <w:r w:rsidDel="00000000" w:rsidR="00000000" w:rsidRPr="00000000">
              <w:rPr>
                <w:i w:val="1"/>
                <w:sz w:val="18"/>
                <w:szCs w:val="18"/>
                <w:rtl w:val="0"/>
              </w:rPr>
              <w:t xml:space="preserve">(cu argumente) </w:t>
            </w:r>
            <w:r w:rsidDel="00000000" w:rsidR="00000000" w:rsidRPr="00000000">
              <w:rPr>
                <w:rFonts w:ascii="Calibri" w:cs="Calibri" w:eastAsia="Calibri" w:hAnsi="Calibri"/>
                <w:i w:val="1"/>
                <w:sz w:val="18"/>
                <w:szCs w:val="18"/>
                <w:rtl w:val="0"/>
              </w:rPr>
              <w:t xml:space="preserve">calitățile de cercetător demonstrate în cadrul unor </w:t>
            </w:r>
            <w:r w:rsidDel="00000000" w:rsidR="00000000" w:rsidRPr="00000000">
              <w:rPr>
                <w:i w:val="1"/>
                <w:sz w:val="18"/>
                <w:szCs w:val="18"/>
                <w:rtl w:val="0"/>
              </w:rPr>
              <w:t xml:space="preserve">proiecte, burse și granturi de cercetare în care candidatul a fost implicat; aplicații depuse și finanțări obținute; relevanţa naţională şi internaţională a proiectelor, resursele financiare mobilizate, resursa umană implicată. După caz, s</w:t>
            </w:r>
            <w:r w:rsidDel="00000000" w:rsidR="00000000" w:rsidRPr="00000000">
              <w:rPr>
                <w:rFonts w:ascii="Calibri" w:cs="Calibri" w:eastAsia="Calibri" w:hAnsi="Calibri"/>
                <w:i w:val="1"/>
                <w:sz w:val="18"/>
                <w:szCs w:val="18"/>
                <w:rtl w:val="0"/>
              </w:rPr>
              <w:t xml:space="preserve">e fac referiri la:</w:t>
            </w:r>
          </w:p>
          <w:p w:rsidR="00000000" w:rsidDel="00000000" w:rsidP="00000000" w:rsidRDefault="00000000" w:rsidRPr="00000000" w14:paraId="0000007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993"/>
              </w:tabs>
              <w:spacing w:after="0" w:before="0" w:line="240" w:lineRule="auto"/>
              <w:ind w:left="360" w:right="0" w:hanging="360"/>
              <w:jc w:val="left"/>
              <w:rPr>
                <w:rFonts w:ascii="Calibri" w:cs="Calibri" w:eastAsia="Calibri" w:hAnsi="Calibri"/>
                <w:b w:val="0"/>
                <w:i w:val="1"/>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1"/>
                <w:smallCaps w:val="0"/>
                <w:strike w:val="0"/>
                <w:color w:val="000000"/>
                <w:sz w:val="18"/>
                <w:szCs w:val="18"/>
                <w:u w:val="none"/>
                <w:shd w:fill="auto" w:val="clear"/>
                <w:vertAlign w:val="baseline"/>
                <w:rtl w:val="0"/>
              </w:rPr>
              <w:t xml:space="preserve">evaluarea din partea directorului de proiect</w:t>
            </w:r>
          </w:p>
          <w:p w:rsidR="00000000" w:rsidDel="00000000" w:rsidP="00000000" w:rsidRDefault="00000000" w:rsidRPr="00000000" w14:paraId="0000007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993"/>
              </w:tabs>
              <w:spacing w:after="0" w:before="0" w:line="240" w:lineRule="auto"/>
              <w:ind w:left="360" w:right="0" w:hanging="360"/>
              <w:jc w:val="left"/>
              <w:rPr>
                <w:rFonts w:ascii="Calibri" w:cs="Calibri" w:eastAsia="Calibri" w:hAnsi="Calibri"/>
                <w:b w:val="0"/>
                <w:i w:val="1"/>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1"/>
                <w:smallCaps w:val="0"/>
                <w:strike w:val="0"/>
                <w:color w:val="000000"/>
                <w:sz w:val="18"/>
                <w:szCs w:val="18"/>
                <w:u w:val="none"/>
                <w:shd w:fill="auto" w:val="clear"/>
                <w:vertAlign w:val="baseline"/>
                <w:rtl w:val="0"/>
              </w:rPr>
              <w:t xml:space="preserve">evaluarea din partea colegilor de echipă</w:t>
            </w:r>
          </w:p>
          <w:p w:rsidR="00000000" w:rsidDel="00000000" w:rsidP="00000000" w:rsidRDefault="00000000" w:rsidRPr="00000000" w14:paraId="0000007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357" w:right="0" w:hanging="357"/>
              <w:jc w:val="left"/>
              <w:rPr>
                <w:rFonts w:ascii="Calibri" w:cs="Calibri" w:eastAsia="Calibri" w:hAnsi="Calibri"/>
                <w:b w:val="0"/>
                <w:i w:val="1"/>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1"/>
                <w:smallCaps w:val="0"/>
                <w:strike w:val="0"/>
                <w:color w:val="000000"/>
                <w:sz w:val="18"/>
                <w:szCs w:val="18"/>
                <w:u w:val="none"/>
                <w:shd w:fill="auto" w:val="clear"/>
                <w:vertAlign w:val="baseline"/>
                <w:rtl w:val="0"/>
              </w:rPr>
              <w:t xml:space="preserve">îndrumarea și formarea de tineri cercetători.</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sz w:val="18"/>
                <w:szCs w:val="18"/>
                <w:rtl w:val="0"/>
              </w:rPr>
              <w:t xml:space="preserve">Rezultate selective (proiecte câștigate în calitate de coordonator, cu resurse financiare importante și rată mică de succes +/-10%):</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sz w:val="18"/>
                <w:szCs w:val="18"/>
                <w:rtl w:val="0"/>
              </w:rPr>
              <w:t xml:space="preserve">2022-24 </w:t>
            </w:r>
            <w:r w:rsidDel="00000000" w:rsidR="00000000" w:rsidRPr="00000000">
              <w:rPr>
                <w:sz w:val="18"/>
                <w:szCs w:val="18"/>
                <w:highlight w:val="white"/>
                <w:rtl w:val="0"/>
              </w:rPr>
              <w:t xml:space="preserve">De la colecția de fotografie de arhitectură 1900-1940 la baza de date: științe umaniste digitale pentru cultura locală la seism, inundație, incendiu</w:t>
            </w:r>
            <w:r w:rsidDel="00000000" w:rsidR="00000000" w:rsidRPr="00000000">
              <w:rPr>
                <w:sz w:val="18"/>
                <w:szCs w:val="18"/>
                <w:rtl w:val="0"/>
              </w:rPr>
              <w:t xml:space="preserve"> - director de proiect - UEFISCDI - 250 000 eur - </w:t>
            </w:r>
            <w:hyperlink r:id="rId8">
              <w:r w:rsidDel="00000000" w:rsidR="00000000" w:rsidRPr="00000000">
                <w:rPr>
                  <w:color w:val="1155cc"/>
                  <w:sz w:val="18"/>
                  <w:szCs w:val="18"/>
                  <w:u w:val="single"/>
                  <w:rtl w:val="0"/>
                </w:rPr>
                <w:t xml:space="preserve">https://www.uauim.ro/en/research/future-on-the-past/</w:t>
              </w:r>
            </w:hyperlink>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sz w:val="18"/>
                <w:szCs w:val="18"/>
                <w:rtl w:val="0"/>
              </w:rPr>
              <w:t xml:space="preserve">Proiectul (cea mai mare finanțare care nu este în consorțiu pentru România) este în curs și încă nu e evaluat.</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sz w:val="18"/>
                <w:szCs w:val="18"/>
                <w:rtl w:val="0"/>
              </w:rPr>
              <w:t xml:space="preserve">2020-24 Researcher mental health - secondary proposer și membru în grupul nucleu - COST association - ca. 500 000 eur - </w:t>
            </w:r>
            <w:hyperlink r:id="rId9">
              <w:r w:rsidDel="00000000" w:rsidR="00000000" w:rsidRPr="00000000">
                <w:rPr>
                  <w:color w:val="1155cc"/>
                  <w:sz w:val="18"/>
                  <w:szCs w:val="18"/>
                  <w:u w:val="single"/>
                  <w:rtl w:val="0"/>
                </w:rPr>
                <w:t xml:space="preserve">https://www.cost.eu/actions/CA19117/</w:t>
              </w:r>
            </w:hyperlink>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sz w:val="18"/>
                <w:szCs w:val="18"/>
                <w:rtl w:val="0"/>
              </w:rPr>
              <w:t xml:space="preserve">Proiectul (internațional) este în curs. A fost invitat pentru depunere la grantul de inovare, dar nu a trecut la faza următoare.</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sz w:val="18"/>
                <w:szCs w:val="18"/>
                <w:rtl w:val="0"/>
              </w:rPr>
              <w:t xml:space="preserve">Alte 3 acțiuni COST la care cercetătoarea a participat au fost success story.</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sz w:val="18"/>
                <w:szCs w:val="18"/>
                <w:rtl w:val="0"/>
              </w:rPr>
              <w:t xml:space="preserve"> </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sz w:val="18"/>
                <w:szCs w:val="18"/>
                <w:rtl w:val="0"/>
              </w:rPr>
              <w:t xml:space="preserve">2012-15 Network for digital methods in arts and humanities NeDiMAH - steering committee member - European Science Foundation - ca. 500 000 eur - </w:t>
            </w:r>
            <w:hyperlink r:id="rId10">
              <w:r w:rsidDel="00000000" w:rsidR="00000000" w:rsidRPr="00000000">
                <w:rPr>
                  <w:color w:val="1155cc"/>
                  <w:sz w:val="18"/>
                  <w:szCs w:val="18"/>
                  <w:u w:val="single"/>
                  <w:rtl w:val="0"/>
                </w:rPr>
                <w:t xml:space="preserve">http://archives.esf.org/coordinating-research/research-networking-programmes/humanities-hum/nedimah.html</w:t>
              </w:r>
            </w:hyperlink>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sz w:val="18"/>
                <w:szCs w:val="18"/>
                <w:rtl w:val="0"/>
              </w:rPr>
              <w:t xml:space="preserve">2007-10 The innovation in the plan of the current floor: Zoning in blocks of flats for the middle class in the first half of the 20th century - European Commission - 45 000 eur - reintegration grantee (writing the project and benefiting of all funds) - </w:t>
            </w:r>
            <w:hyperlink r:id="rId11">
              <w:r w:rsidDel="00000000" w:rsidR="00000000" w:rsidRPr="00000000">
                <w:rPr>
                  <w:color w:val="1155cc"/>
                  <w:sz w:val="18"/>
                  <w:szCs w:val="18"/>
                  <w:u w:val="single"/>
                  <w:rtl w:val="0"/>
                </w:rPr>
                <w:t xml:space="preserve">https://cordis.europa.eu/project/id/200636</w:t>
              </w:r>
            </w:hyperlink>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sz w:val="18"/>
                <w:szCs w:val="18"/>
                <w:rtl w:val="0"/>
              </w:rPr>
              <w:t xml:space="preserve">Proiectul a fost evaluat ca promissing result, și prezentat în broșura Comisiei Europene ca results in brief, echivalentul success story de azi.</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sz w:val="18"/>
                <w:szCs w:val="18"/>
                <w:rtl w:val="0"/>
              </w:rPr>
              <w:t xml:space="preserve">2005-05 Preservation of historic reinforced concrete housing buildings across Europe - European Commission - 136 375 eur - individual fellow (writing the project and benefiting of all funds) - </w:t>
            </w:r>
            <w:hyperlink r:id="rId12">
              <w:r w:rsidDel="00000000" w:rsidR="00000000" w:rsidRPr="00000000">
                <w:rPr>
                  <w:color w:val="1155cc"/>
                  <w:sz w:val="18"/>
                  <w:szCs w:val="18"/>
                  <w:u w:val="single"/>
                  <w:rtl w:val="0"/>
                </w:rPr>
                <w:t xml:space="preserve">https://cordis.europa.eu/project/id/9765</w:t>
              </w:r>
            </w:hyperlink>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sz w:val="18"/>
                <w:szCs w:val="18"/>
                <w:rtl w:val="0"/>
              </w:rPr>
              <w:t xml:space="preserve">Proiectul a fost continuat cu grantul de reintegrare de mai sus.</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sz w:val="18"/>
                <w:szCs w:val="18"/>
              </w:rPr>
            </w:pPr>
            <w:r w:rsidDel="00000000" w:rsidR="00000000" w:rsidRPr="00000000">
              <w:rPr>
                <w:sz w:val="18"/>
                <w:szCs w:val="18"/>
                <w:rtl w:val="0"/>
              </w:rPr>
              <w:t xml:space="preserve">Așa cum am evidențiat la modului I, multe din temele sau modurile de implementare abordate în cadrul celor două granturi Marie Curie individuale au devenit practică la Comisia Europeană astăzi, dar atunci erau de pionierat. Astfel, proiectele legate de hazarduri acum privesc și patrimoniul și sunt implicate științele umaniste. Grantul de reintegrare a fost în afara mediului academic, așa cum acum pot fi unele granturi, și a beneficiat de un stagiu extern, tot neacademic, chiar în afara Uniunii Europene.</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0" w:right="0" w:firstLine="0"/>
              <w:jc w:val="left"/>
              <w:rPr>
                <w:i w:val="1"/>
                <w:sz w:val="18"/>
                <w:szCs w:val="18"/>
              </w:rPr>
            </w:pPr>
            <w:r w:rsidDel="00000000" w:rsidR="00000000" w:rsidRPr="00000000">
              <w:rPr>
                <w:rtl w:val="0"/>
              </w:rPr>
            </w:r>
          </w:p>
        </w:tc>
      </w:tr>
      <w:tr>
        <w:trPr>
          <w:cantSplit w:val="0"/>
          <w:trHeight w:val="454" w:hRule="atLeast"/>
          <w:tblHeader w:val="0"/>
        </w:trPr>
        <w:tc>
          <w:tcPr/>
          <w:p w:rsidR="00000000" w:rsidDel="00000000" w:rsidP="00000000" w:rsidRDefault="00000000" w:rsidRPr="00000000" w14:paraId="0000008C">
            <w:pPr>
              <w:tabs>
                <w:tab w:val="left" w:leader="none" w:pos="993"/>
              </w:tabs>
              <w:jc w:val="center"/>
              <w:rPr>
                <w:b w:val="1"/>
              </w:rPr>
            </w:pPr>
            <w:r w:rsidDel="00000000" w:rsidR="00000000" w:rsidRPr="00000000">
              <w:rPr>
                <w:b w:val="1"/>
                <w:rtl w:val="0"/>
              </w:rPr>
              <w:t xml:space="preserve">4.4.</w:t>
            </w:r>
          </w:p>
        </w:tc>
        <w:tc>
          <w:tcPr/>
          <w:p w:rsidR="00000000" w:rsidDel="00000000" w:rsidP="00000000" w:rsidRDefault="00000000" w:rsidRPr="00000000" w14:paraId="0000008D">
            <w:pPr>
              <w:tabs>
                <w:tab w:val="left" w:leader="none" w:pos="993"/>
              </w:tabs>
              <w:rPr/>
            </w:pPr>
            <w:r w:rsidDel="00000000" w:rsidR="00000000" w:rsidRPr="00000000">
              <w:rPr>
                <w:rFonts w:ascii="Calibri" w:cs="Calibri" w:eastAsia="Calibri" w:hAnsi="Calibri"/>
                <w:b w:val="1"/>
                <w:rtl w:val="0"/>
              </w:rPr>
              <w:t xml:space="preserve">Contribuții la consolidarea și prestigiul comunității academice a UAUIM</w:t>
            </w:r>
            <w:r w:rsidDel="00000000" w:rsidR="00000000" w:rsidRPr="00000000">
              <w:rPr>
                <w:rtl w:val="0"/>
              </w:rPr>
            </w:r>
          </w:p>
          <w:p w:rsidR="00000000" w:rsidDel="00000000" w:rsidP="00000000" w:rsidRDefault="00000000" w:rsidRPr="00000000" w14:paraId="0000008E">
            <w:pPr>
              <w:tabs>
                <w:tab w:val="left" w:leader="none" w:pos="993"/>
              </w:tabs>
              <w:rPr/>
            </w:pPr>
            <w:r w:rsidDel="00000000" w:rsidR="00000000" w:rsidRPr="00000000">
              <w:rPr>
                <w:rtl w:val="0"/>
              </w:rPr>
            </w:r>
          </w:p>
        </w:tc>
        <w:tc>
          <w:tcPr>
            <w:shd w:fill="auto" w:val="clear"/>
            <w:vAlign w:val="center"/>
          </w:tcPr>
          <w:p w:rsidR="00000000" w:rsidDel="00000000" w:rsidP="00000000" w:rsidRDefault="00000000" w:rsidRPr="00000000" w14:paraId="0000008F">
            <w:pPr>
              <w:tabs>
                <w:tab w:val="left" w:leader="none" w:pos="993"/>
              </w:tabs>
              <w:rPr>
                <w:i w:val="1"/>
                <w:sz w:val="18"/>
                <w:szCs w:val="18"/>
              </w:rPr>
            </w:pPr>
            <w:r w:rsidDel="00000000" w:rsidR="00000000" w:rsidRPr="00000000">
              <w:rPr>
                <w:i w:val="1"/>
                <w:sz w:val="18"/>
                <w:szCs w:val="18"/>
                <w:rtl w:val="0"/>
              </w:rPr>
              <w:t xml:space="preserve">Se evidențiază (cu argumente):</w:t>
            </w:r>
          </w:p>
          <w:p w:rsidR="00000000" w:rsidDel="00000000" w:rsidP="00000000" w:rsidRDefault="00000000" w:rsidRPr="00000000" w14:paraId="0000009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93"/>
              </w:tabs>
              <w:spacing w:after="0" w:before="0" w:line="240" w:lineRule="auto"/>
              <w:ind w:left="357" w:right="0" w:hanging="357"/>
              <w:jc w:val="left"/>
              <w:rPr>
                <w:rFonts w:ascii="Calibri" w:cs="Calibri" w:eastAsia="Calibri" w:hAnsi="Calibri"/>
                <w:b w:val="0"/>
                <w:i w:val="1"/>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1"/>
                <w:smallCaps w:val="0"/>
                <w:strike w:val="0"/>
                <w:color w:val="000000"/>
                <w:sz w:val="18"/>
                <w:szCs w:val="18"/>
                <w:u w:val="none"/>
                <w:shd w:fill="auto" w:val="clear"/>
                <w:vertAlign w:val="baseline"/>
                <w:rtl w:val="0"/>
              </w:rPr>
              <w:t xml:space="preserve">integrarea în colectiv și raporturile cu colegii, contribuții la coagularea colectivului, spirit de echipă, deschidere spre dialog;</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40" w:lineRule="auto"/>
              <w:ind w:left="0" w:right="0" w:firstLine="0"/>
              <w:jc w:val="left"/>
              <w:rPr>
                <w:rFonts w:ascii="Calibri" w:cs="Calibri" w:eastAsia="Calibri" w:hAnsi="Calibri"/>
                <w:b w:val="0"/>
                <w:i w:val="1"/>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1"/>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9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93"/>
              </w:tabs>
              <w:spacing w:after="0" w:before="0" w:line="240" w:lineRule="auto"/>
              <w:ind w:left="357" w:right="0" w:hanging="357"/>
              <w:jc w:val="left"/>
              <w:rPr>
                <w:rFonts w:ascii="Calibri" w:cs="Calibri" w:eastAsia="Calibri" w:hAnsi="Calibri"/>
                <w:b w:val="0"/>
                <w:i w:val="1"/>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1"/>
                <w:smallCaps w:val="0"/>
                <w:strike w:val="0"/>
                <w:color w:val="000000"/>
                <w:sz w:val="18"/>
                <w:szCs w:val="18"/>
                <w:u w:val="none"/>
                <w:shd w:fill="auto" w:val="clear"/>
                <w:vertAlign w:val="baseline"/>
                <w:rtl w:val="0"/>
              </w:rPr>
              <w:t xml:space="preserve">organizarea și participarea la manifestări cultural-științifice interne; </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40" w:lineRule="auto"/>
              <w:ind w:right="0"/>
              <w:jc w:val="left"/>
              <w:rPr>
                <w:sz w:val="18"/>
                <w:szCs w:val="18"/>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40" w:lineRule="auto"/>
              <w:ind w:right="0"/>
              <w:jc w:val="left"/>
              <w:rPr>
                <w:sz w:val="18"/>
                <w:szCs w:val="18"/>
              </w:rPr>
            </w:pPr>
            <w:r w:rsidDel="00000000" w:rsidR="00000000" w:rsidRPr="00000000">
              <w:rPr>
                <w:sz w:val="18"/>
                <w:szCs w:val="18"/>
                <w:rtl w:val="0"/>
              </w:rPr>
              <w:t xml:space="preserve">Cercetătoarea a organizat manifestări științifice interne, iar despre o parte din ele a și relatat în revista Arhitext. Astfel a fost Cross group meeting NeDiMAH, cu participare internațională, în 1-3 noiembrie 2021, din cadrul rețelei NeDiMAH, manifestare finanțată, inclusiv cu costuri indirecte. De asemenea, a organizat două mese rotunde la CSAU, cu participare și din afara UAUIM. Una din ele, despre impactul dezastrelor, a fost aducerea în România a sesiunii de comunicări de la EGU, și s-a soldat și cu un volum publicat, cu finanțare prin grant, care a fost popularizat la EGU și la Anuala și Bienala de arhitectură. Tot așa a fost popularizat și volumul rezultat din manifestarea EGU organizată ca stagiar UAUIM la Roma, la care a invitat (cu grant deci finanțat) și personal UAUIM. Cealaltă masă rotundă a fost despre Arhitectură și film, un spin off al stagiului COST de la Karlsruhe din 2017. De asemenea, a avut invitați străini, în special în cooperare cu școala doctorală, care au susținut prelegeri: Thomas Panagopoulos (de 2 ori, în cooperare cu Erasmus), Orsolya Kegyes-Brassai (de 2 ori, rezultând și în acord de cooperare).</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40" w:lineRule="auto"/>
              <w:ind w:right="0"/>
              <w:jc w:val="left"/>
              <w:rPr>
                <w:sz w:val="18"/>
                <w:szCs w:val="18"/>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40" w:lineRule="auto"/>
              <w:ind w:right="0"/>
              <w:jc w:val="left"/>
              <w:rPr>
                <w:sz w:val="18"/>
                <w:szCs w:val="18"/>
              </w:rPr>
            </w:pPr>
            <w:r w:rsidDel="00000000" w:rsidR="00000000" w:rsidRPr="00000000">
              <w:rPr>
                <w:sz w:val="18"/>
                <w:szCs w:val="18"/>
                <w:rtl w:val="0"/>
              </w:rPr>
              <w:t xml:space="preserve">Cercetătoarea a participat pe tot parcursul angajării la UAUIM la manifestări științifice cum ar fi sesiunile de comunicări de la revista Argument (cu puține întreruperi) unde a adus și co-autori străini. A prezentat și la ediția inaugurală a atelierelor de la SIbiu. În ce privește manifestările internaționale, a prezentat la conferințele ICAR și la EURAU când s-au desfășurat la UAUIM, iar pentru Forumul Le Notre a participat la ședințele de organizare și a adus doi participanți străini, cooperarea cu unul din ei rezultând în organizarea și invitarea unor participanți la o conferință tot pe tema peisajului la Karlsruhe, și a prezentat un poster. Pentru conferința finală RRRC a proiectului UrbasRisk în care a fost și membru, a fost membru în comitetul de organizare.</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40" w:lineRule="auto"/>
              <w:ind w:right="0"/>
              <w:jc w:val="left"/>
              <w:rPr>
                <w:sz w:val="18"/>
                <w:szCs w:val="18"/>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40" w:lineRule="auto"/>
              <w:ind w:right="0"/>
              <w:jc w:val="left"/>
              <w:rPr>
                <w:sz w:val="18"/>
                <w:szCs w:val="18"/>
              </w:rPr>
            </w:pPr>
            <w:r w:rsidDel="00000000" w:rsidR="00000000" w:rsidRPr="00000000">
              <w:rPr>
                <w:sz w:val="18"/>
                <w:szCs w:val="18"/>
                <w:rtl w:val="0"/>
              </w:rPr>
              <w:t xml:space="preserve">La începutul angajării a participat la organizarea unor evenimente de la Catedra de Restaurare sau CSAU, cum ar fi conferința privind diaspora românească (la secretariat), publicarea volumului din conferința organizată cu Giuseppe Cina, expoziția de restaurare româno-franceză. De asemenea, a lucrat intens la arhiva digitală Tzigara-Samurcaș, care a rezultat în expozițiile amintite.</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40" w:lineRule="auto"/>
              <w:ind w:right="0"/>
              <w:jc w:val="left"/>
              <w:rPr>
                <w:sz w:val="18"/>
                <w:szCs w:val="18"/>
              </w:rPr>
            </w:pPr>
            <w:r w:rsidDel="00000000" w:rsidR="00000000" w:rsidRPr="00000000">
              <w:rPr>
                <w:rtl w:val="0"/>
              </w:rPr>
            </w:r>
          </w:p>
          <w:p w:rsidR="00000000" w:rsidDel="00000000" w:rsidP="00000000" w:rsidRDefault="00000000" w:rsidRPr="00000000" w14:paraId="0000009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93"/>
              </w:tabs>
              <w:spacing w:after="0" w:before="0" w:line="240" w:lineRule="auto"/>
              <w:ind w:left="357" w:right="0" w:hanging="357"/>
              <w:jc w:val="left"/>
              <w:rPr>
                <w:rFonts w:ascii="Calibri" w:cs="Calibri" w:eastAsia="Calibri" w:hAnsi="Calibri"/>
                <w:b w:val="0"/>
                <w:i w:val="1"/>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1"/>
                <w:smallCaps w:val="0"/>
                <w:strike w:val="0"/>
                <w:color w:val="000000"/>
                <w:sz w:val="18"/>
                <w:szCs w:val="18"/>
                <w:u w:val="none"/>
                <w:shd w:fill="auto" w:val="clear"/>
                <w:vertAlign w:val="baseline"/>
                <w:rtl w:val="0"/>
              </w:rPr>
              <w:t xml:space="preserve">susținerea imaginii și prestigiului universității la nivel național și internațional; </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40" w:lineRule="auto"/>
              <w:ind w:right="0"/>
              <w:jc w:val="left"/>
              <w:rPr>
                <w:i w:val="1"/>
                <w:sz w:val="18"/>
                <w:szCs w:val="18"/>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40" w:lineRule="auto"/>
              <w:ind w:right="0"/>
              <w:jc w:val="left"/>
              <w:rPr>
                <w:sz w:val="18"/>
                <w:szCs w:val="18"/>
              </w:rPr>
            </w:pPr>
            <w:r w:rsidDel="00000000" w:rsidR="00000000" w:rsidRPr="00000000">
              <w:rPr>
                <w:sz w:val="18"/>
                <w:szCs w:val="18"/>
                <w:rtl w:val="0"/>
              </w:rPr>
              <w:t xml:space="preserve">Pe lângă contribuțiile directe trecute prin filtrul UAUIM, cercetătoarea este și a fost membru, membru supleant și membru observator la acțiuni COST, care contribuie la vizibilitatea UAUIM la nivel internațional.</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40" w:lineRule="auto"/>
              <w:ind w:right="0"/>
              <w:jc w:val="left"/>
              <w:rPr>
                <w:sz w:val="18"/>
                <w:szCs w:val="18"/>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40" w:lineRule="auto"/>
              <w:ind w:right="0"/>
              <w:jc w:val="left"/>
              <w:rPr>
                <w:sz w:val="18"/>
                <w:szCs w:val="18"/>
              </w:rPr>
            </w:pPr>
            <w:r w:rsidDel="00000000" w:rsidR="00000000" w:rsidRPr="00000000">
              <w:rPr>
                <w:sz w:val="18"/>
                <w:szCs w:val="18"/>
                <w:rtl w:val="0"/>
              </w:rPr>
              <w:t xml:space="preserve">Publicațiile și premiile contribuie la vizibilitatea internațională a UAUIM, precum și stagiile de schimb prin COST/ESF/Academia Maghiară/grant suport canadian și prin bursa postdoctorală Vasile Pârvan la Roma desfășurate de cercetătoare.</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40" w:lineRule="auto"/>
              <w:ind w:right="0"/>
              <w:jc w:val="left"/>
              <w:rPr>
                <w:sz w:val="18"/>
                <w:szCs w:val="18"/>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40" w:lineRule="auto"/>
              <w:ind w:right="0"/>
              <w:jc w:val="left"/>
              <w:rPr>
                <w:sz w:val="18"/>
                <w:szCs w:val="18"/>
              </w:rPr>
            </w:pPr>
            <w:r w:rsidDel="00000000" w:rsidR="00000000" w:rsidRPr="00000000">
              <w:rPr>
                <w:sz w:val="18"/>
                <w:szCs w:val="18"/>
                <w:rtl w:val="0"/>
              </w:rPr>
              <w:t xml:space="preserve">În afara acestor realizări personale, a contribuit direct și la stabilirea de relații internaționale, cum ar fi cadrul de cooperare sus amintit cu Orsolya Kegyes-Brassai, acorduri Erasmus cu Hanovra, Faro, Budapesta.</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40" w:lineRule="auto"/>
              <w:ind w:right="0"/>
              <w:jc w:val="left"/>
              <w:rPr>
                <w:i w:val="1"/>
                <w:sz w:val="18"/>
                <w:szCs w:val="18"/>
              </w:rPr>
            </w:pP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93"/>
              </w:tabs>
              <w:spacing w:after="0" w:before="0" w:line="240" w:lineRule="auto"/>
              <w:ind w:left="357" w:right="0" w:hanging="357"/>
              <w:jc w:val="left"/>
              <w:rPr>
                <w:rFonts w:ascii="Calibri" w:cs="Calibri" w:eastAsia="Calibri" w:hAnsi="Calibri"/>
                <w:b w:val="0"/>
                <w:i w:val="1"/>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1"/>
                <w:smallCaps w:val="0"/>
                <w:strike w:val="0"/>
                <w:color w:val="000000"/>
                <w:sz w:val="18"/>
                <w:szCs w:val="18"/>
                <w:u w:val="none"/>
                <w:shd w:fill="auto" w:val="clear"/>
                <w:vertAlign w:val="baseline"/>
                <w:rtl w:val="0"/>
              </w:rPr>
              <w:t xml:space="preserve">susținerea realizării unor proiecte de importanță majoră în cadrul UAUIM, inclusiv prin aplicații depuse în cadrul unor programe de finanțare prestigioase; relevanţa naţională şi internaţională a proiectelor, resursele financiare mobilizate, resursa umană implicată;</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40" w:lineRule="auto"/>
              <w:ind w:left="360" w:right="0" w:firstLine="0"/>
              <w:jc w:val="left"/>
              <w:rPr>
                <w:i w:val="1"/>
                <w:sz w:val="18"/>
                <w:szCs w:val="18"/>
              </w:rPr>
            </w:pPr>
            <w:r w:rsidDel="00000000" w:rsidR="00000000" w:rsidRPr="00000000">
              <w:rPr>
                <w:rtl w:val="0"/>
              </w:rPr>
            </w:r>
          </w:p>
          <w:p w:rsidR="00000000" w:rsidDel="00000000" w:rsidP="00000000" w:rsidRDefault="00000000" w:rsidRPr="00000000" w14:paraId="000000A4">
            <w:pPr>
              <w:tabs>
                <w:tab w:val="left" w:leader="none" w:pos="993"/>
              </w:tabs>
              <w:spacing w:after="120" w:lineRule="auto"/>
              <w:rPr>
                <w:sz w:val="18"/>
                <w:szCs w:val="18"/>
              </w:rPr>
            </w:pPr>
            <w:r w:rsidDel="00000000" w:rsidR="00000000" w:rsidRPr="00000000">
              <w:rPr>
                <w:sz w:val="18"/>
                <w:szCs w:val="18"/>
                <w:rtl w:val="0"/>
              </w:rPr>
              <w:t xml:space="preserve">Inițial cercetătoarea a realizat proiecte cheltuieli indirecte de anvergură mai mică, cum ar fi manifestarea științifică amintită și trei proiecte de mobilitate.</w:t>
            </w:r>
          </w:p>
          <w:p w:rsidR="00000000" w:rsidDel="00000000" w:rsidP="00000000" w:rsidRDefault="00000000" w:rsidRPr="00000000" w14:paraId="000000A5">
            <w:pPr>
              <w:tabs>
                <w:tab w:val="left" w:leader="none" w:pos="993"/>
              </w:tabs>
              <w:spacing w:after="120" w:lineRule="auto"/>
              <w:rPr>
                <w:sz w:val="18"/>
                <w:szCs w:val="18"/>
              </w:rPr>
            </w:pPr>
            <w:r w:rsidDel="00000000" w:rsidR="00000000" w:rsidRPr="00000000">
              <w:rPr>
                <w:sz w:val="18"/>
                <w:szCs w:val="18"/>
                <w:rtl w:val="0"/>
              </w:rPr>
              <w:t xml:space="preserve">La începutul activiății de la Departamentul pentru Managementul Cercetării, cercetătoarea a contribuit la elaborarea temei de proiectare și notei conceptuale pentru Casa Kretzulescu, care a adus fonduri importante UAUIM.</w:t>
            </w:r>
          </w:p>
          <w:p w:rsidR="00000000" w:rsidDel="00000000" w:rsidP="00000000" w:rsidRDefault="00000000" w:rsidRPr="00000000" w14:paraId="000000A6">
            <w:pPr>
              <w:tabs>
                <w:tab w:val="left" w:leader="none" w:pos="993"/>
              </w:tabs>
              <w:spacing w:after="120" w:lineRule="auto"/>
              <w:rPr>
                <w:sz w:val="18"/>
                <w:szCs w:val="18"/>
              </w:rPr>
            </w:pPr>
            <w:r w:rsidDel="00000000" w:rsidR="00000000" w:rsidRPr="00000000">
              <w:rPr>
                <w:sz w:val="18"/>
                <w:szCs w:val="18"/>
                <w:rtl w:val="0"/>
              </w:rPr>
              <w:t xml:space="preserve">Fonduri similare a adus prin cheltuieli indirecte, dar a contribuit și la achiziții prin cheltuieli de capital, și proiectul de cercetare exploratorie</w:t>
            </w:r>
          </w:p>
          <w:p w:rsidR="00000000" w:rsidDel="00000000" w:rsidP="00000000" w:rsidRDefault="00000000" w:rsidRPr="00000000" w14:paraId="000000A7">
            <w:pPr>
              <w:tabs>
                <w:tab w:val="left" w:leader="none" w:pos="993"/>
              </w:tabs>
              <w:spacing w:after="120" w:lineRule="auto"/>
              <w:rPr>
                <w:i w:val="1"/>
                <w:sz w:val="18"/>
                <w:szCs w:val="18"/>
              </w:rPr>
            </w:pPr>
            <w:r w:rsidDel="00000000" w:rsidR="00000000" w:rsidRPr="00000000">
              <w:rPr>
                <w:sz w:val="18"/>
                <w:szCs w:val="18"/>
                <w:rtl w:val="0"/>
              </w:rPr>
              <w:t xml:space="preserve">2022-24 </w:t>
            </w:r>
            <w:r w:rsidDel="00000000" w:rsidR="00000000" w:rsidRPr="00000000">
              <w:rPr>
                <w:sz w:val="18"/>
                <w:szCs w:val="18"/>
                <w:highlight w:val="white"/>
                <w:rtl w:val="0"/>
              </w:rPr>
              <w:t xml:space="preserve">De la colecția de fotografie de arhitectură 1900-1940 la baza de date: științe umaniste digitale pentru cultura locală la seism, inundație, incendiu</w:t>
            </w:r>
            <w:r w:rsidDel="00000000" w:rsidR="00000000" w:rsidRPr="00000000">
              <w:rPr>
                <w:sz w:val="18"/>
                <w:szCs w:val="18"/>
                <w:rtl w:val="0"/>
              </w:rPr>
              <w:t xml:space="preserve"> - director de proiect - UEFISCDI - 250 000 eur - </w:t>
            </w:r>
            <w:hyperlink r:id="rId13">
              <w:r w:rsidDel="00000000" w:rsidR="00000000" w:rsidRPr="00000000">
                <w:rPr>
                  <w:color w:val="1155cc"/>
                  <w:sz w:val="18"/>
                  <w:szCs w:val="18"/>
                  <w:u w:val="single"/>
                  <w:rtl w:val="0"/>
                </w:rPr>
                <w:t xml:space="preserve">https://www.uauim.ro/en/research/future-on-the-past/</w:t>
              </w:r>
            </w:hyperlink>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left="357" w:right="0" w:hanging="357"/>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18"/>
                <w:szCs w:val="18"/>
                <w:u w:val="none"/>
                <w:shd w:fill="auto" w:val="clear"/>
                <w:vertAlign w:val="baseline"/>
                <w:rtl w:val="0"/>
              </w:rPr>
              <w:t xml:space="preserve">disponibilitate şi implicare în activităţi organizatoric-administrative permanente sau ocazionale, în cadrul departamentului /facultăţii /universităţii; spirit de inițiativă.</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120" w:before="0" w:line="240" w:lineRule="auto"/>
              <w:ind w:right="0"/>
              <w:jc w:val="left"/>
              <w:rPr>
                <w:sz w:val="18"/>
                <w:szCs w:val="18"/>
              </w:rPr>
            </w:pPr>
            <w:r w:rsidDel="00000000" w:rsidR="00000000" w:rsidRPr="00000000">
              <w:rPr>
                <w:sz w:val="18"/>
                <w:szCs w:val="18"/>
                <w:rtl w:val="0"/>
              </w:rPr>
              <w:t xml:space="preserve">Sarcinile organizatoric-administrative curente includ: diseminarea apelurilor la proiecte de cercetare și informații despre acestea către departamente, mentenanța arhivei de proiecte și selectarea informațiilor publicate pe sit, gestionarea raportării către CNFIS pentru raportarea iC2, livrarea informațiilor solicitate despre cercetare pentru evaluările ARACIS.</w:t>
            </w:r>
            <w:r w:rsidDel="00000000" w:rsidR="00000000" w:rsidRPr="00000000">
              <w:rPr>
                <w:rtl w:val="0"/>
              </w:rPr>
            </w:r>
          </w:p>
        </w:tc>
      </w:tr>
    </w:tbl>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tabs>
          <w:tab w:val="left" w:leader="none" w:pos="993"/>
        </w:tabs>
        <w:jc w:val="both"/>
        <w:rPr/>
      </w:pPr>
      <w:r w:rsidDel="00000000" w:rsidR="00000000" w:rsidRPr="00000000">
        <w:rPr>
          <w:rtl w:val="0"/>
        </w:rPr>
      </w:r>
    </w:p>
    <w:p w:rsidR="00000000" w:rsidDel="00000000" w:rsidP="00000000" w:rsidRDefault="00000000" w:rsidRPr="00000000" w14:paraId="000000AC">
      <w:pPr>
        <w:tabs>
          <w:tab w:val="left" w:leader="none" w:pos="993"/>
        </w:tabs>
        <w:jc w:val="both"/>
        <w:rPr/>
      </w:pPr>
      <w:r w:rsidDel="00000000" w:rsidR="00000000" w:rsidRPr="00000000">
        <w:rPr>
          <w:rtl w:val="0"/>
        </w:rPr>
      </w:r>
    </w:p>
    <w:p w:rsidR="00000000" w:rsidDel="00000000" w:rsidP="00000000" w:rsidRDefault="00000000" w:rsidRPr="00000000" w14:paraId="000000AD">
      <w:pPr>
        <w:tabs>
          <w:tab w:val="left" w:leader="none" w:pos="993"/>
        </w:tabs>
        <w:jc w:val="both"/>
        <w:rPr/>
      </w:pPr>
      <w:r w:rsidDel="00000000" w:rsidR="00000000" w:rsidRPr="00000000">
        <w:rPr>
          <w:rtl w:val="0"/>
        </w:rPr>
        <w:t xml:space="preserve">Data 06.06.2024.........................</w:t>
        <w:tab/>
        <w:tab/>
        <w:tab/>
        <w:t xml:space="preserve">       Semnătura candidatului .......................................</w:t>
      </w:r>
    </w:p>
    <w:sectPr>
      <w:headerReference r:id="rId14" w:type="default"/>
      <w:footerReference r:id="rId15" w:type="default"/>
      <w:pgSz w:h="16838" w:w="11906" w:orient="portrait"/>
      <w:pgMar w:bottom="851" w:top="1134" w:left="1440" w:right="1440" w:header="708" w:footer="29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18"/>
          <w:szCs w:val="18"/>
          <w:u w:val="none"/>
          <w:shd w:fill="auto" w:val="clear"/>
          <w:vertAlign w:val="baseline"/>
          <w:rtl w:val="0"/>
        </w:rPr>
        <w:t xml:space="preserve"> Pentru studii cu cicluri de licență și master distincte, se indică media aritmetică a mediilor de absolvire a celor două cicluri de studii. În cazul absolvirii mai multor programe de master, se ia în considerare primul master absolvit ca finalizare a calificării de bază la nivel 7 EQF. </w:t>
      </w:r>
    </w:p>
  </w:footnote>
  <w:footnote w:id="1">
    <w:p w:rsidR="00000000" w:rsidDel="00000000" w:rsidP="00000000" w:rsidRDefault="00000000" w:rsidRPr="00000000" w14:paraId="000000AF">
      <w:pPr>
        <w:rPr>
          <w:i w:val="1"/>
          <w:sz w:val="18"/>
          <w:szCs w:val="18"/>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i w:val="1"/>
          <w:sz w:val="18"/>
          <w:szCs w:val="18"/>
          <w:rtl w:val="0"/>
        </w:rPr>
        <w:t xml:space="preserve">Se prezintă realizările din intervalul trecut de la ultima promovare, respectiv din ultimii 3 ani pentru candidații la posturi de asistent sau cercetător sau ultimii 5 ani pentru candidații proveniți din afara învățământului universitar.</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ANEXA 2</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0"/>
      <w:numFmt w:val="bullet"/>
      <w:lvlText w:val="-"/>
      <w:lvlJc w:val="left"/>
      <w:pPr>
        <w:ind w:left="360" w:hanging="360"/>
      </w:pPr>
      <w:rPr>
        <w:rFonts w:ascii="Calibri" w:cs="Calibri" w:eastAsia="Calibri" w:hAnsi="Calibri"/>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0"/>
      <w:numFmt w:val="bullet"/>
      <w:lvlText w:val="-"/>
      <w:lvlJc w:val="left"/>
      <w:pPr>
        <w:ind w:left="360" w:hanging="360"/>
      </w:pPr>
      <w:rPr>
        <w:rFonts w:ascii="Calibri" w:cs="Calibri" w:eastAsia="Calibri" w:hAnsi="Calibri"/>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0"/>
      <w:numFmt w:val="bullet"/>
      <w:lvlText w:val="-"/>
      <w:lvlJc w:val="left"/>
      <w:pPr>
        <w:ind w:left="360" w:hanging="360"/>
      </w:pPr>
      <w:rPr>
        <w:rFonts w:ascii="Calibri" w:cs="Calibri" w:eastAsia="Calibri" w:hAnsi="Calibri"/>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7D4789"/>
    <w:pPr>
      <w:spacing w:after="0" w:line="240"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4D7B95"/>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BalloonText">
    <w:name w:val="Balloon Text"/>
    <w:basedOn w:val="Normal"/>
    <w:link w:val="BalloonTextChar"/>
    <w:uiPriority w:val="99"/>
    <w:semiHidden w:val="1"/>
    <w:unhideWhenUsed w:val="1"/>
    <w:rsid w:val="004D7B95"/>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4D7B95"/>
    <w:rPr>
      <w:rFonts w:ascii="Segoe UI" w:cs="Segoe UI" w:eastAsia="Times New Roman" w:hAnsi="Segoe UI"/>
      <w:sz w:val="18"/>
      <w:szCs w:val="18"/>
      <w:lang w:eastAsia="ro-RO" w:val="en-US"/>
    </w:rPr>
  </w:style>
  <w:style w:type="paragraph" w:styleId="Header">
    <w:name w:val="header"/>
    <w:basedOn w:val="Normal"/>
    <w:link w:val="HeaderChar"/>
    <w:uiPriority w:val="99"/>
    <w:unhideWhenUsed w:val="1"/>
    <w:rsid w:val="004D7B95"/>
    <w:pPr>
      <w:tabs>
        <w:tab w:val="center" w:pos="4513"/>
        <w:tab w:val="right" w:pos="9026"/>
      </w:tabs>
    </w:pPr>
  </w:style>
  <w:style w:type="character" w:styleId="HeaderChar" w:customStyle="1">
    <w:name w:val="Header Char"/>
    <w:basedOn w:val="DefaultParagraphFont"/>
    <w:link w:val="Header"/>
    <w:uiPriority w:val="99"/>
    <w:rsid w:val="004D7B95"/>
    <w:rPr>
      <w:rFonts w:ascii="Times New Roman" w:cs="Times New Roman" w:eastAsia="Times New Roman" w:hAnsi="Times New Roman"/>
      <w:sz w:val="20"/>
      <w:szCs w:val="20"/>
      <w:lang w:eastAsia="ro-RO" w:val="en-US"/>
    </w:rPr>
  </w:style>
  <w:style w:type="paragraph" w:styleId="Footer">
    <w:name w:val="footer"/>
    <w:basedOn w:val="Normal"/>
    <w:link w:val="FooterChar"/>
    <w:uiPriority w:val="99"/>
    <w:unhideWhenUsed w:val="1"/>
    <w:rsid w:val="004D7B95"/>
    <w:pPr>
      <w:tabs>
        <w:tab w:val="center" w:pos="4513"/>
        <w:tab w:val="right" w:pos="9026"/>
      </w:tabs>
    </w:pPr>
  </w:style>
  <w:style w:type="character" w:styleId="FooterChar" w:customStyle="1">
    <w:name w:val="Footer Char"/>
    <w:basedOn w:val="DefaultParagraphFont"/>
    <w:link w:val="Footer"/>
    <w:uiPriority w:val="99"/>
    <w:rsid w:val="004D7B95"/>
    <w:rPr>
      <w:rFonts w:ascii="Times New Roman" w:cs="Times New Roman" w:eastAsia="Times New Roman" w:hAnsi="Times New Roman"/>
      <w:sz w:val="20"/>
      <w:szCs w:val="20"/>
      <w:lang w:eastAsia="ro-RO" w:val="en-US"/>
    </w:rPr>
  </w:style>
  <w:style w:type="paragraph" w:styleId="ListParagraph">
    <w:name w:val="List Paragraph"/>
    <w:basedOn w:val="Normal"/>
    <w:uiPriority w:val="34"/>
    <w:qFormat w:val="1"/>
    <w:rsid w:val="009E769E"/>
    <w:pPr>
      <w:ind w:left="720"/>
      <w:contextualSpacing w:val="1"/>
    </w:pPr>
  </w:style>
  <w:style w:type="paragraph" w:styleId="FootnoteText">
    <w:name w:val="footnote text"/>
    <w:basedOn w:val="Normal"/>
    <w:link w:val="FootnoteTextChar"/>
    <w:uiPriority w:val="99"/>
    <w:semiHidden w:val="1"/>
    <w:unhideWhenUsed w:val="1"/>
    <w:rsid w:val="00072476"/>
    <w:rPr>
      <w:sz w:val="20"/>
      <w:szCs w:val="20"/>
    </w:rPr>
  </w:style>
  <w:style w:type="character" w:styleId="FootnoteTextChar" w:customStyle="1">
    <w:name w:val="Footnote Text Char"/>
    <w:basedOn w:val="DefaultParagraphFont"/>
    <w:link w:val="FootnoteText"/>
    <w:uiPriority w:val="99"/>
    <w:semiHidden w:val="1"/>
    <w:rsid w:val="00072476"/>
    <w:rPr>
      <w:sz w:val="20"/>
      <w:szCs w:val="20"/>
    </w:rPr>
  </w:style>
  <w:style w:type="character" w:styleId="FootnoteReference">
    <w:name w:val="footnote reference"/>
    <w:basedOn w:val="DefaultParagraphFont"/>
    <w:uiPriority w:val="99"/>
    <w:semiHidden w:val="1"/>
    <w:unhideWhenUsed w:val="1"/>
    <w:rsid w:val="00072476"/>
    <w:rPr>
      <w:vertAlign w:val="superscrip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rdis.europa.eu/project/id/200636" TargetMode="External"/><Relationship Id="rId10" Type="http://schemas.openxmlformats.org/officeDocument/2006/relationships/hyperlink" Target="http://archives.esf.org/coordinating-research/research-networking-programmes/humanities-hum/nedimah.html" TargetMode="External"/><Relationship Id="rId13" Type="http://schemas.openxmlformats.org/officeDocument/2006/relationships/hyperlink" Target="https://www.uauim.ro/en/research/future-on-the-past/" TargetMode="External"/><Relationship Id="rId12" Type="http://schemas.openxmlformats.org/officeDocument/2006/relationships/hyperlink" Target="https://cordis.europa.eu/project/id/976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cost.eu/actions/CA19117/" TargetMode="External"/><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auim.ro/en/research/future-on-the-pas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3qLU6pVjBtVsXXA+vjmCgVI7w==">CgMxLjAyCGguZ2pkZ3hzOAByITF0cDYzaHZReVRaWmx1ZHQzZmdmU1AwQzVBVF9yczBhTA==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2024-05-20T11:31:00Z</dcterms:created>
  <dc:creator>Rodica Crisan</dc:creator>
</cp:coreProperties>
</file>